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{Narayani}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{Eleutherine bulbosa}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{Iridaceae}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{விஷநாராயணி}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{nan}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{Visha narayani 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{Dayak onion 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{Perennial herb with red colour onion like buds,</w:t>
        <w:br/>
        <w:t>Lance shaped hairless leaves ,white / yellow flowers that bloom with a short night window 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{Underground bulb}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 xml:space="preserve">{1.Used to treat diabetes and hypertension </w:t>
        <w:br/>
        <w:t>2.Used to treat wooping cough ,jaundice 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{1.Anti inflammatory </w:t>
        <w:br/>
        <w:t>2.Anti bacterial</w:t>
        <w:br/>
        <w:t xml:space="preserve">3.Anti fungal </w:t>
        <w:br/>
        <w:t xml:space="preserve">4.Anti oxidant </w:t>
        <w:br/>
        <w:t>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 , kashaya 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{Laghu,Ruksha ,Tikshna 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 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{Vata kaphahara , pitta vardhaka 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