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promoter methylation in TCGA (n = 125), validated in GSE65858 (n = 256), which records HPV DNA status and viral transcriptional activity separately, and replicated for methylation in GSE38266 (n = 42). Immune composition was estimated with CIBERSORTx, and two single-cell RNA-seq cohorts (35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promoters were hypomethylated in HPV+ tumours, and hypomethylation correlated with meiotic expression (ρ = −0.755). A six-gene core meiotic score separated transcriptionally active HPV+ tumours from HPV− tumours (AUC = 0.959, 95% CI 0.91–1.00),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HPV+ tumours had more plasma cells and CD8+ T cells, yet at single-cell resolution the core score differed by HPV status only in malignant cells (Δ = 0.103 vs ≤ 0.011 in non-malignant cell types). The malignant-cell signal replicated in a second cohort (AUC = 0.945, 95% CI 0.83–1.00) and was attenuated by 22% after adjustment for proliferation.</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and in younger patients without the tobacco and alcohol exposure that characterises the classical disease [2]. HPV+ HNSCC is now recognised as a disease entity distinct from its HPV− counterpart, with a different mutational landscape, a characteristic transcriptional profile and a markedly better prognosis [3–5].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is sufficient to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as the mean β-value of all probes annotated to the gene in the HM450 manifest.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hypomethylation score (mean of Z-scored, sign-inverted β over the core module) and a composite meiotic expression score (mean Z-scored expression over the same genes) were correlated. Replication in GSE38266 was assessed in three ways. The first two used the same gene-level summary as in TCGA (mean β over all annotated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panel genes.</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reported AUCs were obtained with the Hanley–McNeil method from the AUC and group sizes [37].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HPV+ coherence.</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[38]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six proliferation-associated genes (</w:t>
      </w:r>
      <w:r>
        <w:rPr>
          <w:i/>
          <w:iCs/>
        </w:rPr>
        <w:t xml:space="preserve">MKI67</w:t>
      </w:r>
      <w:r>
        <w:t xml:space="preserve">, </w:t>
      </w:r>
      <w:r>
        <w:rPr>
          <w:i/>
          <w:iCs/>
        </w:rPr>
        <w:t xml:space="preserve">PCNA</w:t>
      </w:r>
      <w:r>
        <w:t xml:space="preserve">, </w:t>
      </w:r>
      <w:r>
        <w:rPr>
          <w:i/>
          <w:iCs/>
        </w:rPr>
        <w:t xml:space="preserve">TOP2A</w:t>
      </w:r>
      <w:r>
        <w:t xml:space="preserve">, </w:t>
      </w:r>
      <w:r>
        <w:rPr>
          <w:i/>
          <w:iCs/>
        </w:rPr>
        <w:t xml:space="preserve">CCNB1</w:t>
      </w:r>
      <w:r>
        <w:t xml:space="preserve">, </w:t>
      </w:r>
      <w:r>
        <w:rPr>
          <w:i/>
          <w:iCs/>
        </w:rPr>
        <w:t xml:space="preserve">BUB1</w:t>
      </w:r>
      <w:r>
        <w:t xml:space="preserve"> and </w:t>
      </w:r>
      <w:r>
        <w:rPr>
          <w:i/>
          <w:iCs/>
        </w:rPr>
        <w:t xml:space="preserve">AURKA</w:t>
      </w:r>
      <w:r>
        <w:t xml:space="preserve">), was included as a covariate in logistic regression models of HPV status on the core meiotic score, given the functional overlap between meiotic and mitotic cell-cycle processes. In TCGA-HNSC, tumour purity was addressed by merging consensus purity estimates (CPE) [39],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[40],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Scores were also computed for the wider meiotic panel, the MAGE/CTAG comparator and a six-gene proliferation score. Group differences were assessed with the Mann–Whitney test,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the TCGA analyses are available at https://github.com/rejoy2004-rgb/TCGA-HNSC-HPV-Transcriptomics.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of which 16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Six of the twelve most significant upregulated genes belong to the meiotic panel: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24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24852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six of the twelve most significant genes are meiotic, and the ten meiotic panel genes are highlighted. (b) Log</w:t>
      </w:r>
      <w:r>
        <w:rPr>
          <w:sz w:val="18"/>
          <w:szCs w:val="18"/>
          <w:vertAlign w:val="subscript"/>
        </w:rPr>
        <w:t xml:space="preserve">2</w:t>
      </w:r>
      <w:r>
        <w:rPr>
          <w:sz w:val="18"/>
          <w:szCs w:val="18"/>
        </w:rPr>
        <w:t xml:space="preserve"> fold changes of the ten meiotic panel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16 of them related to meiosis or germ-cell biology.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19.6-fold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promoter methylation in TCGA-HNSC, 18 (37%) were significantly hypomethylated in HPV+ tumours (FDR &lt; 0.05; Fig. 2a). The largest effect, at </w:t>
      </w:r>
      <w:r>
        <w:rPr>
          <w:i/>
          <w:iCs/>
        </w:rPr>
        <w:t xml:space="preserve">MEI1</w:t>
      </w:r>
      <w:r>
        <w:t xml:space="preserve">, was a 0.45 decrease in mean promoter β. Seventeen of the 18 hypomethylated genes showed a negative methylation–expression correlation (median ρ = −0.55; Fig. 2b), the direction expected if methylation loss permits expression. At the module level, the composite hypomethylation score and the meiotic expression score were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(mean β over all annotated probes)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0" cy="2619375"/>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0.91–1.00; P = 5.2 × 10</w:t>
      </w:r>
      <w:r>
        <w:rPr>
          <w:vertAlign w:val="superscript"/>
        </w:rPr>
        <w:t xml:space="preserve">−18</w:t>
      </w:r>
      <w:r>
        <w:t xml:space="preserve">), whereas tumours carrying HPV DNA without transcriptional activity did not differ detectably from HPV− tumours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0.68–0.83)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0" cy="3048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0.026–0.272, which the observed value exceeded (P = 0.002),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This group (n = 25) was not compared with its own size-matched null, so whether its coherence exceeds chance is not established; if confirmed, it would suggest that the internal coordination of the module and its overall activation are separable.</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0.91–1.00;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consensus purity estimates (CPE) [39]. HPV+ tumours were purer than HPV− tumours (mean CPE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Higher purity in HPV+ tumours may appear at odds with their lymphocyte-rich composition (Section 3.10); consensus purity integrates estimators that capture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the GSE65858 analysis (Section 3.6), in which HPV DNA and transcriptional activity are recorded independently of p16, provides the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bl>
    <w:p>
      <w:pPr>
        <w:keepNext/>
        <w:spacing w:after="80" w:before="120"/>
        <w:jc w:val="center"/>
      </w:pPr>
      <w:r>
        <w:drawing>
          <wp:inline distT="0" distB="0" distL="0" distR="0">
            <wp:extent cx="6096000" cy="3829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290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0.103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0.090 (P = 8.1 × 10</w:t>
      </w:r>
      <w:r>
        <w:rPr>
          <w:vertAlign w:val="superscript"/>
        </w:rPr>
        <w:t xml:space="preserve">−112</w:t>
      </w:r>
      <w:r>
        <w:t xml:space="preserve">); within malignant cells alone, the HPV+ effect was 0.124 (95% CI 0.084–0.164). Including </w:t>
      </w:r>
      <w:r>
        <w:rPr>
          <w:i/>
          <w:iCs/>
        </w:rPr>
        <w:t xml:space="preserve">MAJIN</w:t>
      </w:r>
      <w:r>
        <w:t xml:space="preserve"> under its deposited symbol did not alter the result: the per-cell contrast was 0.103 for the six-gene core and 0.117 for the five core genes matched by current symbol alone, with similar discrimination (AUC 0.868 and 0.865). Fig. 5 was generated with the five-gene version; six-gene values are reported in the text and Table 6.</w:t>
      </w:r>
    </w:p>
    <w:p>
      <w:pPr>
        <w:spacing w:after="140" w:line="288"/>
      </w:pPr>
      <w:r>
        <w:t xml:space="preserve">The effect was not driven by a single tumour. With malignant cells aggregated per patient, all 7 HPV+ tumours scored above all 13 HPV− tumours on the core score computed from the five genes matched by current symbol (Mann–Whitney P = 1.3 × 10</w:t>
      </w:r>
      <w:r>
        <w:rPr>
          <w:vertAlign w:val="superscript"/>
        </w:rPr>
        <w:t xml:space="preserve">−5</w:t>
      </w:r>
      <w:r>
        <w:t xml:space="preserve">; Fig. 5e), with the same result for the six-gene core (Table 6), and separation persisted after removal of any single HPV+ patient (largest leave-one-out P = 3.7 × 10</w:t>
      </w:r>
      <w:r>
        <w:rPr>
          <w:vertAlign w:val="superscript"/>
        </w:rPr>
        <w:t xml:space="preserve">−5</w:t>
      </w:r>
      <w:r>
        <w:t xml:space="preserve">). Pseudobulk expression, a method independent of per-cell scoring, gave the same result: among 6 HPV+ and 13 HPV− tumours with at least 20 malignant cells, core-module pseudobulk expression (five current-symbol genes) was 7.0-fold higher in HPV+ malignant cells (P = 3.7 × 10</w:t>
      </w:r>
      <w:r>
        <w:rPr>
          <w:vertAlign w:val="superscript"/>
        </w:rPr>
        <w:t xml:space="preserve">−5</w:t>
      </w:r>
      <w:r>
        <w:t xml:space="preserve">), whereas the cancer–testis comparator was unchanged (0.96-fold, P = 0.26)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14 of 29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001000" cy="5000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0" cy="5000625"/>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the five core genes matched by current gene symbol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six-gene values are given in the text and Table 6.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(five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0.83–1.00;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including OP13, which contributed only 155 malignant cells and scored marginally below the highest-scoring HPV− tumour (OP8). When the four-gene score was recomputed with an independently written implementation, OP13 versus OP8 was the only discordant pair (AUC = 0.982, P = 9.0 × 10</w:t>
      </w:r>
      <w:r>
        <w:rPr>
          <w:vertAlign w:val="superscript"/>
        </w:rPr>
        <w:t xml:space="preserve">−4</w:t>
      </w:r>
      <w:r>
        <w:t xml:space="preserve">), and the proportion of malignant cells detecting any of the four meiosis-specific genes separated the groups completely (AUC = 1.000, P = 5.0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096250" cy="4962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096250" cy="4962525"/>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proposed for cancer–testis antigen expression [15, 16].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A concrete candidate exists. In somatic cells, meiosis-specific genes carry a conserved E2F6-binding element in their promoters [41], E2F6 silences </w:t>
      </w:r>
      <w:r>
        <w:rPr>
          <w:i/>
          <w:iCs/>
        </w:rPr>
        <w:t xml:space="preserve">SMC1B</w:t>
      </w:r>
      <w:r>
        <w:t xml:space="preserve"> and </w:t>
      </w:r>
      <w:r>
        <w:rPr>
          <w:i/>
          <w:iCs/>
        </w:rPr>
        <w:t xml:space="preserve">STAG3</w:t>
      </w:r>
      <w:r>
        <w:t xml:space="preserve"> [42], and E2F6 recruits DNMT3B to establish methylation at germline gene promoters [43]; no comparable E2F6 dependence has been described for the MAGE/CTAG family, whose silencing is attributed mainly to promoter DNA methylation [18]. Because E7 disrupts RB–E2F control [7], interference with E2F6-dependent repression would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although the silent group was not tested against its own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[44, 45],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35 tumours in two cohorts (17 HPV+, 18 HPV−),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mean β across all annotated probes is a coarse measure that may obscure CpG-island substructure and allele-specific effects, and the promoter-proximal probe set was applied only to the GSE38266 set-level test; a single promoter definition (for example TSS1500, TSS200, 5′UTR and first exon) was not applied across cohorts. </w:t>
      </w:r>
      <w:r>
        <w:rPr>
          <w:i/>
          <w:iCs/>
        </w:rPr>
        <w:t xml:space="preserve">MEI1</w:t>
      </w:r>
      <w:r>
        <w:t xml:space="preserve"> and </w:t>
      </w:r>
      <w:r>
        <w:rPr>
          <w:i/>
          <w:iCs/>
        </w:rPr>
        <w:t xml:space="preserve">STAG3</w:t>
      </w:r>
      <w:r>
        <w:t xml:space="preserve">, which are also expressed in B and plasma cells, are included in all bulk analyses (the GSE65858 discrimination and coherence results and the TCGA methylation composite), and </w:t>
      </w:r>
      <w:r>
        <w:rPr>
          <w:i/>
          <w:iCs/>
        </w:rPr>
        <w:t xml:space="preserve">MEI1</w:t>
      </w:r>
      <w:r>
        <w:t xml:space="preserve"> showed the largest methylation difference; because HPV+ tumours are richer in B and plasma cells, part of these bulk signals may reflect cell composition, and the bulk methylation analyses were not adjusted for B-cell or plasma-cell fractions. The malignant-cell localisation was confirmed with the four-gene score that excludes these genes, but only in the single-cell cohorts.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and a sensitivity analysis requiring ISH positivity was not performed. AUC confidence intervals were obtained with the Hanley–McNeil approximation rather than DeLong or bootstrap methods.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38.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39. Aran D, Sirota M, Butte AJ. Systematic pan-cancer analysis of tumour purity. </w:t>
      </w:r>
      <w:r>
        <w:rPr>
          <w:i/>
          <w:iCs/>
          <w:sz w:val="18"/>
          <w:szCs w:val="18"/>
        </w:rPr>
        <w:t xml:space="preserve">Nat Commun</w:t>
      </w:r>
      <w:r>
        <w:rPr>
          <w:sz w:val="18"/>
          <w:szCs w:val="18"/>
        </w:rPr>
        <w:t xml:space="preserve">. 2015;6:8971. https://doi.org/10.1038/ncomms9971</w:t>
      </w:r>
    </w:p>
    <w:p>
      <w:pPr>
        <w:spacing w:after="80"/>
      </w:pPr>
      <w:r>
        <w:rPr>
          <w:sz w:val="18"/>
          <w:szCs w:val="18"/>
        </w:rPr>
        <w:t xml:space="preserve">40.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41.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42.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43.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44.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45.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6096000" cy="1495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49542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6096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409825"/>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6096000" cy="1952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9526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0.002).</w:t>
      </w:r>
    </w:p>
    <w:p>
      <w:pPr>
        <w:keepNext/>
        <w:spacing w:after="80" w:before="120"/>
        <w:jc w:val="center"/>
      </w:pPr>
      <w:r>
        <w:drawing>
          <wp:inline distT="0" distB="0" distL="0" distR="0">
            <wp:extent cx="609600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54317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variance-stabilised </w:t>
      </w:r>
      <w:r>
        <w:rPr>
          <w:i/>
          <w:iCs/>
          <w:sz w:val="18"/>
          <w:szCs w:val="18"/>
        </w:rPr>
        <w:t xml:space="preserve">CD8A</w:t>
      </w:r>
      <w:r>
        <w:rPr>
          <w:sz w:val="18"/>
          <w:szCs w:val="18"/>
        </w:rPr>
        <w:t xml:space="preserve"> (left; Spearman ρ = 0.735) and </w:t>
      </w:r>
      <w:r>
        <w:rPr>
          <w:i/>
          <w:iCs/>
          <w:sz w:val="18"/>
          <w:szCs w:val="18"/>
        </w:rPr>
        <w:t xml:space="preserve">CD8B</w:t>
      </w:r>
      <w:r>
        <w:rPr>
          <w:sz w:val="18"/>
          <w:szCs w:val="18"/>
        </w:rPr>
        <w:t xml:space="preserve"> (right; ρ = 0.689) expression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181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318135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(exploratory; unadjusted).</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Panel, member of the meiotic gene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PRDM15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controls for the core meiotic signal. Site and proliferation analyses are in GSE65858 (virus-active HPV+ vs HPV−); logistic models predict HPV status from the core meiotic score with the stated covariates (β, meiotic-score coefficient). Purity analyses are in TCGA-HNSC with consensus purity estimates (CPE); linear models regress the core meiotic score on HPV status with the stated covariates (β, HPV coefficient). A p16-adjusted model is omitted because p16 contributes to the TCGA HPV-status definition.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0.960 (95% CI 0.91–1.00)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Purity by HPV status (mean CPE)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0.63 vs 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2.29 (unadjusted) vs 2.29 (adjusted); purity coefficient = −0.022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2.25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CIBERSORTx fractions for all samples (CIBERSORTx_Job14_Results.csv).</w:t>
      </w:r>
    </w:p>
    <w:sectPr>
      <w:footerReference w:type="default" r:id="rId14"/>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theme" Target="theme/theme1.xml"/><Relationship Id="rId16" Type="http://schemas.openxmlformats.org/officeDocument/2006/relationships/image" Target="media/9d3d87e9c117406056d5fdd4872b74445f5fa39c.png"/><Relationship Id="rId17" Type="http://schemas.openxmlformats.org/officeDocument/2006/relationships/image" Target="media/10551d7dc8914368fc64f539f9b16a61458ffade.png"/><Relationship Id="rId18" Type="http://schemas.openxmlformats.org/officeDocument/2006/relationships/image" Target="media/9c67ad18915221fc7251aa3058b9ae1b65c8661c.png"/><Relationship Id="rId19" Type="http://schemas.openxmlformats.org/officeDocument/2006/relationships/image" Target="media/745d36ead80c61aba667abb890d5cb2a2675efb6.png"/><Relationship Id="rId20" Type="http://schemas.openxmlformats.org/officeDocument/2006/relationships/image" Target="media/ef9d9bc39690bb6944568c2a8bdc3d99efe997cd.png"/><Relationship Id="rId21" Type="http://schemas.openxmlformats.org/officeDocument/2006/relationships/image" Target="media/8a098a26ae1d63897479f459e211ca66f761afb0.png"/><Relationship Id="rId22" Type="http://schemas.openxmlformats.org/officeDocument/2006/relationships/image" Target="media/80835cf801b90539ff50ee48b816cf421b9dbf7d.png"/><Relationship Id="rId23" Type="http://schemas.openxmlformats.org/officeDocument/2006/relationships/image" Target="media/d1344f9ab334b45520f117f25ae7e5fce1b0bfbf.png"/><Relationship Id="rId24" Type="http://schemas.openxmlformats.org/officeDocument/2006/relationships/image" Target="media/07d2cfb3b65f9b6ab8d0b5e3ac2ce5bc43e3c652.png"/><Relationship Id="rId25" Type="http://schemas.openxmlformats.org/officeDocument/2006/relationships/image" Target="media/3285164b79e2cb21cbe5a8a90c4ca172af45f79e.png"/><Relationship Id="rId26" Type="http://schemas.openxmlformats.org/officeDocument/2006/relationships/image" Target="media/2c4c087d0a3b75021ef786f550eeb69088cf2a05.png"/><Relationship Id="rId27" Type="http://schemas.openxmlformats.org/officeDocument/2006/relationships/image" Target="media/2abb6f04bd6b49f84458f2c40d866137138a1fd6.png"/><Relationship Id="rId28" Type="http://schemas.openxmlformats.org/officeDocument/2006/relationships/image" Target="media/4c0ef66930f735c67e6647232f9dddbac481fe4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2026-10-07T16:50:40.281Z</dcterms:created>
  <dcterms:modified xsi:type="dcterms:W3CDTF">2026-10-07T16:50:40.283Z</dcterms:modified>
</cp:coreProperties>
</file>

<file path=docProps/custom.xml><?xml version="1.0" encoding="utf-8"?>
<Properties xmlns="http://schemas.openxmlformats.org/officeDocument/2006/custom-properties" xmlns:vt="http://schemas.openxmlformats.org/officeDocument/2006/docPropsVTypes"/>
</file>