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pStyle w:val="Heading1"/>
        <w:spacing w:after="140" w:before="280"/>
      </w:pPr>
      <w:r>
        <w:t xml:space="preserve">Abstract</w:t>
      </w:r>
    </w:p>
    <w:p>
      <w:pPr>
        <w:spacing w:after="140" w:line="288"/>
      </w:pPr>
      <w:r>
        <w:rPr>
          <w:b/>
          <w:bCs/>
        </w:rPr>
        <w:t xml:space="preserve">Background.</w:t>
      </w:r>
      <w:r>
        <w:t xml:space="preserve"> Human papillomavirus-positive (HPV+) head and neck squamous cell carcinoma (HNSCC) differs from HPV− disease in its methylome and its immune microenvironment. Germ-cell gene expression in tumours is usually attributed to stochastic de-repression of cancer–testis antigens (CTAs). We asked whether meiotic gene expression in HPV+ HNSCC instead forms a specific, coordinated programme, and where in the tumour it resides.</w:t>
      </w:r>
    </w:p>
    <w:p>
      <w:pPr>
        <w:spacing w:after="140" w:line="288"/>
      </w:pPr>
      <w:r>
        <w:rPr>
          <w:b/>
          <w:bCs/>
        </w:rPr>
        <w:t xml:space="preserve">Methods.</w:t>
      </w:r>
      <w:r>
        <w:t xml:space="preserve"> Differential expression and enrichment analyses of 279 TCGA-HNSC tumours (36 HPV+) identified meiosis as a dominant HPV-associated theme. A 95-gene panel of the meiotic machinery, with the classic MAGE/CTAG antigens as a comparator, was tested for gene-level methylation in TCGA (n = 125), validated in GSE65858 (n = 256), which records HPV DNA status and viral transcriptional activity separately, and replicated for methylation in GSE38266 (n = 42). Immune composition was estimated with CIBERSORTx, and two single-cell RNA-seq cohorts (36 tumours) were used to localise the signal.</w:t>
      </w:r>
    </w:p>
    <w:p>
      <w:pPr>
        <w:spacing w:after="140" w:line="288"/>
      </w:pPr>
      <w:r>
        <w:rPr>
          <w:b/>
          <w:bCs/>
        </w:rPr>
        <w:t xml:space="preserve">Results.</w:t>
      </w:r>
      <w:r>
        <w:t xml:space="preserve"> Meiotic gene categories, but not the MAGE/CTAG family, were enriched among HPV+-upregulated genes (odds ratio 10.9). Eighteen of 49 panel genes were hypomethylated in HPV+ tumours, and their methylation was inversely correlated with meiotic expression (ρ = −0.755). A six-gene core meiotic score separated transcriptionally active HPV+ tumours from HPV− tumours (AUC = 0.959, 95% CI 0.90–1.00), whereas HPV DNA-positive, transcriptionally silent tumours did not differ detectably from HPV− tumours (P = 0.56); MAGE/CTAG antigens performed at chance (AUC = 0.411, 95% CI 0.31–0.51). The core genes were co-expressed as a module only in HPV+ tumours (mean ρ = 0.556 vs 0.149), and methylation differences replicated across cohorts (ρ = 0.688). At single-cell resolution the core score differed by HPV status only in malignant cells (Δ = 0.100 vs ≤ 0.011 in non-malignant cell types). The malignant-cell signal replicated in a second cohort (AUC = 0.945, 95% CI 0.84–1.00) and was attenuated by 22% after adjustment for proliferation. Additionally, HPV+ tumours had more plasma cells and CD8+ T cells.</w:t>
      </w:r>
    </w:p>
    <w:p>
      <w:pPr>
        <w:spacing w:after="140" w:line="288"/>
      </w:pPr>
      <w:r>
        <w:rPr>
          <w:b/>
          <w:bCs/>
        </w:rPr>
        <w:t xml:space="preserve">Conclusions.</w:t>
      </w:r>
      <w:r>
        <w:t xml:space="preserve"> Transcriptionally active HPV+ HNSCC is associated with a coordinated meiotic gene programme in malignant cells, accompanied by promoter hypomethylation, whereas the classic cancer–testis antigens show none of these features. The meiotic machinery, rather than the broader cancer–testis antigen repertoire, is the more specific germ-cell feature of HPV-driven HNSCC.</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and in younger patients without the tobacco and alcohol exposure that characterises the classical disease [2]. HPV+ HNSCC is now recognised as a disease entity distinct from its HPV− counterpart, with a different mutational landscape, a characteristic transcriptional profile and a markedly better prognosis [3–5].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is sufficient to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with the cBioPortal gene-level HM450 β-value, which, for genes with multiple probes, is the probe most anti-correlated with expression; these gene-level values underlie all panel-wide TCGA methylation results and are distinct from the probe-level promoter analysis of the core module described below.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methylation score (mean Z-scored β over the 18 hypomethylated genes) and a composite meiotic expression score (mean Z-scored expression over the core module) were correlated. Replication in GSE38266 was assessed in three ways. The first two used a gene-level summary in GSE38266 (mean β over promoter-proximal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of the 18 genes hypomethylated in TCGA-HNSC.</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for comparison only, the mean β of all annotated probes of each gene was recomputed from the GDC data (this is not the cBioPortal value, which is a single probe per gene).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variance-stabilised </w:t>
      </w:r>
      <w:r>
        <w:rPr>
          <w:i/>
          <w:iCs/>
        </w:rPr>
        <w:t xml:space="preserve">CD8A</w:t>
      </w:r>
      <w:r>
        <w:t xml:space="preserve"> and </w:t>
      </w:r>
      <w:r>
        <w:rPr>
          <w:i/>
          <w:iCs/>
        </w:rPr>
        <w:t xml:space="preserve">CD8B</w:t>
      </w:r>
      <w:r>
        <w:t xml:space="preserve"> expression and of plasma-cell fractions with </w:t>
      </w:r>
      <w:r>
        <w:rPr>
          <w:i/>
          <w:iCs/>
        </w:rPr>
        <w:t xml:space="preserve">IGHM</w:t>
      </w:r>
      <w:r>
        <w:t xml:space="preserve"> and </w:t>
      </w:r>
      <w:r>
        <w:rPr>
          <w:i/>
          <w:iCs/>
        </w:rPr>
        <w:t xml:space="preserve">MS4A1</w:t>
      </w:r>
      <w:r>
        <w:t xml:space="preserve"> expression in the TPM matrix supplied to CIBERSORTx.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eight proliferation-associated genes (</w:t>
      </w:r>
      <w:r>
        <w:rPr>
          <w:i/>
          <w:iCs/>
        </w:rPr>
        <w:t xml:space="preserve">MKI67</w:t>
      </w:r>
      <w:r>
        <w:t xml:space="preserve">, </w:t>
      </w:r>
      <w:r>
        <w:rPr>
          <w:i/>
          <w:iCs/>
        </w:rPr>
        <w:t xml:space="preserve">CCNB1</w:t>
      </w:r>
      <w:r>
        <w:t xml:space="preserve">, </w:t>
      </w:r>
      <w:r>
        <w:rPr>
          <w:i/>
          <w:iCs/>
        </w:rPr>
        <w:t xml:space="preserve">TOP2A</w:t>
      </w:r>
      <w:r>
        <w:t xml:space="preserve">, </w:t>
      </w:r>
      <w:r>
        <w:rPr>
          <w:i/>
          <w:iCs/>
        </w:rPr>
        <w:t xml:space="preserve">BUB1</w:t>
      </w:r>
      <w:r>
        <w:t xml:space="preserve">, </w:t>
      </w:r>
      <w:r>
        <w:rPr>
          <w:i/>
          <w:iCs/>
        </w:rPr>
        <w:t xml:space="preserve">CDK1</w:t>
      </w:r>
      <w:r>
        <w:t xml:space="preserve">, </w:t>
      </w:r>
      <w:r>
        <w:rPr>
          <w:i/>
          <w:iCs/>
        </w:rPr>
        <w:t xml:space="preserve">AURKA</w:t>
      </w:r>
      <w:r>
        <w:t xml:space="preserve">, </w:t>
      </w:r>
      <w:r>
        <w:rPr>
          <w:i/>
          <w:iCs/>
        </w:rPr>
        <w:t xml:space="preserve">PLK1</w:t>
      </w:r>
      <w:r>
        <w:t xml:space="preserve"> and </w:t>
      </w:r>
      <w:r>
        <w:rPr>
          <w:i/>
          <w:iCs/>
        </w:rPr>
        <w:t xml:space="preserve">TYMS</w:t>
      </w:r>
      <w:r>
        <w:t xml:space="preserve">), was included as a covariate in logistic regression models of HPV status on the core meiotic score, given the functional overlap between meiotic and mitotic cell-cycle processes. In TCGA-HNSC, tumour purity was addressed by merging ABSOLUTE purity estimates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a five-gene version omitting </w:t>
      </w:r>
      <w:r>
        <w:rPr>
          <w:i/>
          <w:iCs/>
        </w:rPr>
        <w:t xml:space="preserve">MAJIN</w:t>
      </w:r>
      <w:r>
        <w:t xml:space="preserve"> was computed only as a sensitivity analysis. Scores were also computed for the wider meiotic panel, the MAGE/CTAG comparator and a six-gene proliferation score. Group differences were assessed with the Mann–Whitney test,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all analyses are available at https://github.com/rejoy2004-rgb/TCGA-HNSC-HPV-Transcriptomics; the panel, methylation, external-validation and single-cell analyses are in scripts/meiotic_programme. Panel, methylation, external-validation and single-cell analyses were performed in Python 3.11 (NumPy, pandas, SciPy and statsmodels).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and 16 of the 18 genes hypomethylated in TCGA-HNSC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1a). Meiotic genes headed the upregulated list. Nine of the twelve most significant upregulated genes belong to the panel, including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1b;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496175"/>
                    </a:xfrm>
                    <a:prstGeom prst="rect">
                      <a:avLst/>
                    </a:prstGeom>
                  </pic:spPr>
                </pic:pic>
              </a:graphicData>
            </a:graphic>
          </wp:inline>
        </w:drawing>
      </w:r>
    </w:p>
    <w:p>
      <w:pPr>
        <w:spacing w:after="220" w:line="260"/>
      </w:pPr>
      <w:r>
        <w:rPr>
          <w:b/>
          <w:bCs/>
          <w:sz w:val="18"/>
          <w:szCs w:val="18"/>
        </w:rPr>
        <w:t xml:space="preserve">Figure 1.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nine of the twelve most significant genes are panel genes, and ten selected meiotic genes are highlighted. (b) Log</w:t>
      </w:r>
      <w:r>
        <w:rPr>
          <w:sz w:val="18"/>
          <w:szCs w:val="18"/>
          <w:vertAlign w:val="subscript"/>
        </w:rPr>
        <w:t xml:space="preserve">2</w:t>
      </w:r>
      <w:r>
        <w:rPr>
          <w:sz w:val="18"/>
          <w:szCs w:val="18"/>
        </w:rPr>
        <w:t xml:space="preserve"> fold changes of the ten selected meiotic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13 of them related to meiosis (terms containing “meio” or “synaptonemal”; full list in HNSC_HPV_GO_Upregulated.csv).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1c).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19.7-fold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gene-level methylation (cBioPortal) in TCGA-HNSC, 18 (37%) were significantly hypomethylated in HPV+ tumours (FDR &lt; 0.05; Fig. 2a). The largest effect, at </w:t>
      </w:r>
      <w:r>
        <w:rPr>
          <w:i/>
          <w:iCs/>
        </w:rPr>
        <w:t xml:space="preserve">MEI1</w:t>
      </w:r>
      <w:r>
        <w:t xml:space="preserve">, was a 0.45 decrease in median β. Seventeen of the 18 hypomethylated genes showed a negative methylation–expression correlation (median ρ = −0.55; Fig. 2b), the direction expected if methylation loss permits expression. At the module level, the composite methylation score of the 18 hypomethylated genes and the core meiotic expression score were inversely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agreed between the two cohorts (ρ = 0.688, P = 2.5 × 10</w:t>
      </w:r>
      <w:r>
        <w:rPr>
          <w:vertAlign w:val="superscript"/>
        </w:rPr>
        <w:t xml:space="preserve">−7</w:t>
      </w:r>
      <w:r>
        <w:t xml:space="preserve"> over 44 shared genes; Fig. 2c), with 29 of 44 genes sharing the same sign (binomial P = 0.05). At set level, mean methylation across the 227 promoter-proximal probes in 16 hypomethylated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promoter methylation (β) was inversely correlated with core-module expression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in probe selection (cBioPortal reports, per gene, the probe most anti-correlated with expression).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sectPr>
          <w:footerReference w:type="default" r:id="rId6"/>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19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144000" cy="2619375"/>
                    </a:xfrm>
                    <a:prstGeom prst="rect">
                      <a:avLst/>
                    </a:prstGeom>
                  </pic:spPr>
                </pic:pic>
              </a:graphicData>
            </a:graphic>
          </wp:inline>
        </w:drawing>
      </w:r>
    </w:p>
    <w:p>
      <w:pPr>
        <w:spacing w:after="220" w:line="260"/>
      </w:pPr>
      <w:r>
        <w:rPr>
          <w:b/>
          <w:bCs/>
          <w:sz w:val="18"/>
          <w:szCs w:val="18"/>
        </w:rPr>
        <w:t xml:space="preserve">Figure 2.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sectPr>
          <w:footerReference w:type="default" r:id="rId7"/>
          <w:pgSz w:w="16838" w:h="11906" w:orient="landscape"/>
          <w:pgMar w:top="1134" w:right="1134" w:bottom="1134" w:left="1134" w:header="708" w:footer="708" w:gutter="0"/>
          <w:pgNumType/>
          <w:docGrid w:linePitch="360"/>
        </w:sectPr>
      </w:pP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3a).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3c;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3b).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144000" cy="3048000"/>
                    </a:xfrm>
                    <a:prstGeom prst="rect">
                      <a:avLst/>
                    </a:prstGeom>
                  </pic:spPr>
                </pic:pic>
              </a:graphicData>
            </a:graphic>
          </wp:inline>
        </w:drawing>
      </w:r>
    </w:p>
    <w:p>
      <w:pPr>
        <w:spacing w:after="220" w:line="260"/>
      </w:pPr>
      <w:r>
        <w:rPr>
          <w:b/>
          <w:bCs/>
          <w:sz w:val="18"/>
          <w:szCs w:val="18"/>
        </w:rPr>
        <w:t xml:space="preserve">Figure 3.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sectPr>
          <w:footerReference w:type="default" r:id="rId9"/>
          <w:pgSz w:w="16838" w:h="11906" w:orient="landscape"/>
          <w:pgMar w:top="1134" w:right="1134" w:bottom="1134" w:left="1134" w:header="708" w:footer="708" w:gutter="0"/>
          <w:pgNumType/>
          <w:docGrid w:linePitch="360"/>
        </w:sectPr>
      </w:pP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0.027–0.273, which the observed value exceeded (P = 0.001),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ABSOLUTE purity estimates [42], available for 277 of the 279 tumours. HPV+ tumours were purer than HPV− tumours (mean purity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(95% CI 2.08–2.41; P = 1.2 × 10</w:t>
      </w:r>
      <w:r>
        <w:rPr>
          <w:vertAlign w:val="superscript"/>
        </w:rPr>
        <w:t xml:space="preserve">−77</w:t>
      </w:r>
      <w:r>
        <w:t xml:space="preserve">). Higher purity in HPV+ tumours may appear at odds with their lymphocyte-rich composition (Section 3.10); ABSOLUTE purity captures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(22 vs 67;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4;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4f;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 and plasma-cell fractions correlated with </w:t>
      </w:r>
      <w:r>
        <w:rPr>
          <w:i/>
          <w:iCs/>
        </w:rPr>
        <w:t xml:space="preserve">IGHM</w:t>
      </w:r>
      <w:r>
        <w:t xml:space="preserve"> (ρ = 0.913) and </w:t>
      </w:r>
      <w:r>
        <w:rPr>
          <w:i/>
          <w:iCs/>
        </w:rPr>
        <w:t xml:space="preserve">MS4A1</w:t>
      </w:r>
      <w:r>
        <w:t xml:space="preserve"> (ρ = 0.590) expression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bl>
    <w:p>
      <w:pPr>
        <w:keepNext/>
        <w:spacing w:after="80" w:before="120"/>
        <w:jc w:val="center"/>
      </w:pPr>
      <w:r>
        <w:drawing>
          <wp:inline distT="0" distB="0" distL="0" distR="0">
            <wp:extent cx="6096000" cy="3829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829050"/>
                    </a:xfrm>
                    <a:prstGeom prst="rect">
                      <a:avLst/>
                    </a:prstGeom>
                  </pic:spPr>
                </pic:pic>
              </a:graphicData>
            </a:graphic>
          </wp:inline>
        </w:drawing>
      </w:r>
    </w:p>
    <w:p>
      <w:pPr>
        <w:spacing w:after="220" w:line="260"/>
      </w:pPr>
      <w:r>
        <w:rPr>
          <w:b/>
          <w:bCs/>
          <w:sz w:val="18"/>
          <w:szCs w:val="18"/>
        </w:rPr>
        <w:t xml:space="preserve">Figure 4.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0.100 between HPV groups (AUC = 0.868), whereas every non-malignant cell type, including the T, B and plasma-cell compartments, differed by at most 0.011 in either direction (Fig. 5a, b). In a mixed model of the six-gene core score over all cells, with patient as a random effect and per-cell detection depth as a covariate, the HPV × malignant interaction was 0.081 (P = 5.5 × 10</w:t>
      </w:r>
      <w:r>
        <w:rPr>
          <w:vertAlign w:val="superscript"/>
        </w:rPr>
        <w:t xml:space="preserve">−128</w:t>
      </w:r>
      <w:r>
        <w:t xml:space="preserve">); within malignant cells alone, the HPV+ effect was 0.108 (95% CI 0.071–0.144). Omitting </w:t>
      </w:r>
      <w:r>
        <w:rPr>
          <w:i/>
          <w:iCs/>
        </w:rPr>
        <w:t xml:space="preserve">MAJIN</w:t>
      </w:r>
      <w:r>
        <w:t xml:space="preserve">, which is deposited under its previous symbol </w:t>
      </w:r>
      <w:r>
        <w:rPr>
          <w:i/>
          <w:iCs/>
        </w:rPr>
        <w:t xml:space="preserve">C11orf85</w:t>
      </w:r>
      <w:r>
        <w:t xml:space="preserve">, did not alter the result: with the five core genes matched by current symbol alone, the per-cell contrast was 0.115 (AUC 0.866). Fig. 5 shows the six-gene core score.</w:t>
      </w:r>
    </w:p>
    <w:p>
      <w:pPr>
        <w:spacing w:after="140" w:line="288"/>
      </w:pPr>
      <w:r>
        <w:t xml:space="preserve">The effect was not driven by a single tumour. With malignant cells aggregated per patient, all 7 HPV+ tumours scored above all 13 HPV− tumours on the six-gene core score (Mann–Whitney P = 2.6 × 10</w:t>
      </w:r>
      <w:r>
        <w:rPr>
          <w:vertAlign w:val="superscript"/>
        </w:rPr>
        <w:t xml:space="preserve">−5</w:t>
      </w:r>
      <w:r>
        <w:t xml:space="preserve">; Fig. 5e), and separation persisted after removal of any single HPV+ patient (largest leave-one-out P = 7.4 × 10</w:t>
      </w:r>
      <w:r>
        <w:rPr>
          <w:vertAlign w:val="superscript"/>
        </w:rPr>
        <w:t xml:space="preserve">−5</w:t>
      </w:r>
      <w:r>
        <w:t xml:space="preserve">). Pseudobulk expression, a method independent of per-cell scoring, gave the same result: among 6 HPV+ and 13 HPV− tumours with at least 20 malignant cells, core-module pseudobulk expression (six genes) was 6.6-fold higher in HPV+ malignant cells (P = 7.4 × 10</w:t>
      </w:r>
      <w:r>
        <w:rPr>
          <w:vertAlign w:val="superscript"/>
        </w:rPr>
        <w:t xml:space="preserve">−5</w:t>
      </w:r>
      <w:r>
        <w:t xml:space="preserve">), whereas the cancer–testis comparator was unchanged (0.96-fold, P = 0.52) (Fig. 5c). For individual genes, </w:t>
      </w:r>
      <w:r>
        <w:rPr>
          <w:i/>
          <w:iCs/>
        </w:rPr>
        <w:t xml:space="preserve">SYCP2</w:t>
      </w:r>
      <w:r>
        <w:t xml:space="preserve"> was detected in 35.8% of HPV+ versus 1.5% of HPV− malignant cells and </w:t>
      </w:r>
      <w:r>
        <w:rPr>
          <w:i/>
          <w:iCs/>
        </w:rPr>
        <w:t xml:space="preserve">SMC1B</w:t>
      </w:r>
      <w:r>
        <w:t xml:space="preserve"> in 29.5% versus 0.6% (Fig. 5d); across the panel, 15 of 30 meiotic genes but only 4 of 13 cancer–testis antigens were detected significantly more often in HPV+ malignant cells (FDR &lt; 0.05), reproducing within tumour cells the class asymmetry seen in bulk.</w:t>
      </w:r>
    </w:p>
    <w:p>
      <w:pPr>
        <w:spacing w:after="140" w:line="288"/>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sectPr>
          <w:footerReference w:type="default" r:id="rId10"/>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001000" cy="5114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001000" cy="5114925"/>
                    </a:xfrm>
                    <a:prstGeom prst="rect">
                      <a:avLst/>
                    </a:prstGeom>
                  </pic:spPr>
                </pic:pic>
              </a:graphicData>
            </a:graphic>
          </wp:inline>
        </w:drawing>
      </w:r>
    </w:p>
    <w:p>
      <w:pPr>
        <w:spacing w:after="220" w:line="260"/>
      </w:pPr>
      <w:r>
        <w:rPr>
          <w:b/>
          <w:bCs/>
          <w:sz w:val="18"/>
          <w:szCs w:val="18"/>
        </w:rPr>
        <w:t xml:space="preserve">Figure 5. The meiotic programme is localised to malignant cells, not the tumour microenvironment (GSE181919; 23,088 primary-tumour cells).</w:t>
      </w:r>
      <w:r>
        <w:rPr>
          <w:sz w:val="18"/>
          <w:szCs w:val="18"/>
        </w:rPr>
        <w:t xml:space="preserve"> The core module in all panels comprises all six core genes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and was queried under that symbol); P values are two-sided Mann–Whitney tests at patient level.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(six genes), the wider meiotic panel and the classic CTAs, showing that the contrast is specific to the meiotic machinery rather than a general germ-cell effect.</w:t>
      </w:r>
    </w:p>
    <w:p>
      <w:pPr>
        <w:sectPr>
          <w:footerReference w:type="default" r:id="rId11"/>
          <w:pgSz w:w="16838" w:h="11906" w:orient="landscape"/>
          <w:pgMar w:top="1134" w:right="1134" w:bottom="1134" w:left="1134" w:header="708" w:footer="708" w:gutter="0"/>
          <w:pgNumType/>
          <w:docGrid w:linePitch="360"/>
        </w:sectPr>
      </w:pP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6a),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6b).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6c);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P = 0.003; Fig. 6d), compared with 0.112 (AUC = 1.000, P = 7.4 × 10</w:t>
      </w:r>
      <w:r>
        <w:rPr>
          <w:vertAlign w:val="superscript"/>
        </w:rPr>
        <w:t xml:space="preserve">−5</w:t>
      </w:r>
      <w:r>
        <w:t xml:space="preserve">) for the same score in GSE181919, giving the same direction and comparable magnitude in two cohorts annotated by different procedures (Fig. 6e;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6d): OP13, which contributed only 155 malignant cells and scored below two HPV− tumours (OP8 and OP12), and OP35 (270 malignant cells), which scored below OP8, giving 3 discordant pairs of 55 (AUC = 0.945). When the core score was recomputed with an independently written implementation, which annotated epithelial cells from marker genes without a copy-number split, OP13 versus OP8 was the only discordant pair (1 of 55; AUC = 0.982, P = 9.2 × 10</w:t>
      </w:r>
      <w:r>
        <w:rPr>
          <w:vertAlign w:val="superscript"/>
        </w:rPr>
        <w:t xml:space="preserve">−4</w:t>
      </w:r>
      <w:r>
        <w:t xml:space="preserve">), and per-tumour scores from the two implementations were highly correlated (Pearson r = 0.94). The proportion of malignant cells detecting any of the four meiosis-specific genes separated the groups completely (AUC = 1.000, P = 4.6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(the 19 GSE181919 tumours with at least 20 malignant cells and all 16 GSE182227 tumours),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6f;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096250" cy="4962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096250" cy="4962525"/>
                    </a:xfrm>
                    <a:prstGeom prst="rect">
                      <a:avLst/>
                    </a:prstGeom>
                  </pic:spPr>
                </pic:pic>
              </a:graphicData>
            </a:graphic>
          </wp:inline>
        </w:drawing>
      </w:r>
    </w:p>
    <w:p>
      <w:pPr>
        <w:spacing w:after="220" w:line="260"/>
      </w:pPr>
      <w:r>
        <w:rPr>
          <w:b/>
          <w:bCs/>
          <w:sz w:val="18"/>
          <w:szCs w:val="18"/>
        </w:rPr>
        <w:t xml:space="preserve">Figure 6.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sectPr>
          <w:footerReference w:type="default" r:id="rId13"/>
          <w:pgSz w:w="16838" w:h="11906" w:orient="landscape"/>
          <w:pgMar w:top="1134" w:right="1134" w:bottom="1134" w:left="1134" w:header="708" w:footer="708" w:gutter="0"/>
          <w:pgNumType/>
          <w:docGrid w:linePitch="360"/>
        </w:sectPr>
      </w:pP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proposed for cancer–testis antigen expression [15, 16].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One candidate, which has not been tested experimentally, is E2F6-dependent repression.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could, if confirmed,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36 tumours in two cohorts (18 HPV+, 18 HPV−; 35 in the pooled tumour-level model, which required at least 20 malignant cells per tumour),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a single cBioPortal probe per gene is a coarse measure that may obscure CpG-island substructure and allele-specific effects; a single promoter definition was applied to both cohorts for the six core genes, but the panel-wide statistics (18 of 49 hypomethylated genes; concordance over 44 genes) still rest on this gene-level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Transcriptionally active HPV+ head and neck squamous cell carcinoma is associated with a specific, internally coordinated meiotic gene programme, accompanied by promoter demethylation and dependent on viral transcriptional activity rather than viral presence. The classic cancer–testis antigens, tested as a pre-specified comparator in the same tumours, show none of these properties. HPV+ tumours also have a plasma-cell- and CD8+ T-cell-rich immune microenvironment and reduced keratinisation programmes, yet single-cell analysis in two independent cohorts localises the meiotic programme to malignant cells, and the association persists after adjustment for proliferation. These data establish associations rather than causal direction. They indicate that germ-cell gene expression in this disease is better described as a directed epigenetic programme than as stochastic de-repression, and that the meiotic machinery, rather than the MAGE/CTAG family, is the more informative compartment for mechanistic and translational study.</w:t>
      </w:r>
    </w:p>
    <w:p>
      <w:pPr>
        <w:pStyle w:val="Heading1"/>
        <w:spacing w:after="140" w:before="280"/>
      </w:pPr>
      <w:r>
        <w:t xml:space="preserve">Data availability</w:t>
      </w:r>
    </w:p>
    <w:p>
      <w:pPr>
        <w:spacing w:after="140" w:line="288"/>
      </w:pPr>
      <w:r>
        <w:t xml:space="preserve">All data analysed are publicly available. TCGA-HNSC expression, clinical annotation, HPV status and gene-level methylation were obtained through cBioPortal (study hnsc_tcga_pub) and the NCI Genomic Data Commons (probe-level HM450 β values). The independent cohorts are available from the Gene Expression Omnibus under accessions GSE65858, GSE38266, GSE181919 and GSE182227. Processed inputs, results tables, figure source panels and all supplementary tables are provided in the study repository (https://github.com/rejoy2004-rgb/TCGA-HNSC-HPV-Transcriptomics).</w:t>
      </w:r>
    </w:p>
    <w:p>
      <w:pPr>
        <w:pStyle w:val="Heading1"/>
        <w:spacing w:after="140" w:before="280"/>
      </w:pPr>
      <w:r>
        <w:t xml:space="preserve">Code availability</w:t>
      </w:r>
    </w:p>
    <w:p>
      <w:pPr>
        <w:spacing w:after="140" w:line="288"/>
      </w:pPr>
      <w:r>
        <w:t xml:space="preserve">The R and Python scripts for the differential expression, enrichment, methylation, deconvolution, confounder and sensitivity analyses, together with the scripts that build the figures, tables and this manuscript, are available at https://github.com/rejoy2004-rgb/TCGA-HNSC-HPV-Transcriptomics.</w:t>
      </w:r>
    </w:p>
    <w:p>
      <w:pPr>
        <w:pStyle w:val="Heading1"/>
        <w:spacing w:after="140" w:before="280"/>
      </w:pPr>
      <w:r>
        <w:t xml:space="preserve">Ethics statement</w:t>
      </w:r>
    </w:p>
    <w:p>
      <w:pPr>
        <w:spacing w:after="140" w:line="288"/>
      </w:pPr>
      <w:r>
        <w:t xml:space="preserve">This study used only publicly available, de-identified data. No new patient samples were collected and no additional ethical approval was required.</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Carter SL, Cibulskis K, Helman E, et al. Absolute quantification of somatic DNA alterations in human cancer. </w:t>
      </w:r>
      <w:r>
        <w:rPr>
          <w:i/>
          <w:iCs/>
          <w:sz w:val="18"/>
          <w:szCs w:val="18"/>
        </w:rPr>
        <w:t xml:space="preserve">Nat Biotechnol</w:t>
      </w:r>
      <w:r>
        <w:rPr>
          <w:sz w:val="18"/>
          <w:szCs w:val="18"/>
        </w:rPr>
        <w:t xml:space="preserve">. 2012;30:413–421. https://doi.org/10.1038/nbt.2203</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3514725"/>
                    </a:xfrm>
                    <a:prstGeom prst="rect">
                      <a:avLst/>
                    </a:prstGeom>
                  </pic:spPr>
                </pic:pic>
              </a:graphicData>
            </a:graphic>
          </wp:inline>
        </w:drawing>
      </w:r>
    </w:p>
    <w:p>
      <w:pPr>
        <w:spacing w:after="220" w:line="260"/>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keepNext/>
        <w:spacing w:after="80" w:before="120"/>
        <w:jc w:val="center"/>
      </w:pPr>
      <w:r>
        <w:drawing>
          <wp:inline distT="0" distB="0" distL="0" distR="0">
            <wp:extent cx="6096000" cy="14001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400175"/>
                    </a:xfrm>
                    <a:prstGeom prst="rect">
                      <a:avLst/>
                    </a:prstGeom>
                  </pic:spPr>
                </pic:pic>
              </a:graphicData>
            </a:graphic>
          </wp:inline>
        </w:drawing>
      </w:r>
    </w:p>
    <w:p>
      <w:pPr>
        <w:spacing w:after="220" w:line="260"/>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keepNext/>
        <w:spacing w:after="80" w:before="120"/>
        <w:jc w:val="center"/>
      </w:pPr>
      <w:r>
        <w:drawing>
          <wp:inline distT="0" distB="0" distL="0" distR="0">
            <wp:extent cx="60960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409825"/>
                    </a:xfrm>
                    <a:prstGeom prst="rect">
                      <a:avLst/>
                    </a:prstGeom>
                  </pic:spPr>
                </pic:pic>
              </a:graphicData>
            </a:graphic>
          </wp:inline>
        </w:drawing>
      </w:r>
    </w:p>
    <w:p>
      <w:pPr>
        <w:spacing w:after="220" w:line="260"/>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keepNext/>
        <w:spacing w:after="80" w:before="120"/>
        <w:jc w:val="center"/>
      </w:pPr>
      <w:r>
        <w:drawing>
          <wp:inline distT="0" distB="0" distL="0" distR="0">
            <wp:extent cx="6096000" cy="1952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1952625"/>
                    </a:xfrm>
                    <a:prstGeom prst="rect">
                      <a:avLst/>
                    </a:prstGeom>
                  </pic:spPr>
                </pic:pic>
              </a:graphicData>
            </a:graphic>
          </wp:inline>
        </w:drawing>
      </w:r>
    </w:p>
    <w:p>
      <w:pPr>
        <w:spacing w:after="220" w:line="260"/>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0.001; 1,000 random subsets of 35 HPV− tumours, null 95% interval 0.027–0.273).</w:t>
      </w:r>
    </w:p>
    <w:p>
      <w:pPr>
        <w:keepNext/>
        <w:spacing w:after="80" w:before="120"/>
        <w:jc w:val="center"/>
      </w:pPr>
      <w:r>
        <w:drawing>
          <wp:inline distT="0" distB="0" distL="0" distR="0">
            <wp:extent cx="609600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543175"/>
                    </a:xfrm>
                    <a:prstGeom prst="rect">
                      <a:avLst/>
                    </a:prstGeom>
                  </pic:spPr>
                </pic:pic>
              </a:graphicData>
            </a:graphic>
          </wp:inline>
        </w:drawing>
      </w:r>
    </w:p>
    <w:p>
      <w:pPr>
        <w:spacing w:after="220" w:line="260"/>
      </w:pPr>
      <w:r>
        <w:rPr>
          <w:b/>
          <w:bCs/>
          <w:sz w:val="18"/>
          <w:szCs w:val="18"/>
        </w:rPr>
        <w:t xml:space="preserve">Supplementary Fig. S5. Validation of CIBERSORTx CD8+ T-cell estimates.</w:t>
      </w:r>
      <w:r>
        <w:rPr>
          <w:sz w:val="18"/>
          <w:szCs w:val="18"/>
        </w:rPr>
        <w:t xml:space="preserve"> CD8+ T-cell fraction versus variance-stabilised </w:t>
      </w:r>
      <w:r>
        <w:rPr>
          <w:i/>
          <w:iCs/>
          <w:sz w:val="18"/>
          <w:szCs w:val="18"/>
        </w:rPr>
        <w:t xml:space="preserve">CD8A</w:t>
      </w:r>
      <w:r>
        <w:rPr>
          <w:sz w:val="18"/>
          <w:szCs w:val="18"/>
        </w:rPr>
        <w:t xml:space="preserve"> (left; Spearman ρ = 0.735) and </w:t>
      </w:r>
      <w:r>
        <w:rPr>
          <w:i/>
          <w:iCs/>
          <w:sz w:val="18"/>
          <w:szCs w:val="18"/>
        </w:rPr>
        <w:t xml:space="preserve">CD8B</w:t>
      </w:r>
      <w:r>
        <w:rPr>
          <w:sz w:val="18"/>
          <w:szCs w:val="18"/>
        </w:rPr>
        <w:t xml:space="preserve"> (right; ρ = 0.689) expression in 279 tumours.</w:t>
      </w:r>
    </w:p>
    <w:p>
      <w:pPr>
        <w:keepNext/>
        <w:spacing w:after="80" w:before="120"/>
        <w:jc w:val="center"/>
      </w:pPr>
      <w:r>
        <w:drawing>
          <wp:inline distT="0" distB="0" distL="0" distR="0">
            <wp:extent cx="4572000" cy="3162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1813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318135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(exploratory; unadjusted).</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ties broken by P value). Panel, member of the 95-gene panel (cta_geneset.csv).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C8G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4.06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ABSOLUTE purity estimates (277 of 279 tumours);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Purity by HPV status (mean ± SD, ABSOLUTE)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(36 vs 241)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0.63 ± 0.16 vs 0.48 ± 0.18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2.29 (95% CI 2.13–2.45) unadjusted vs 2.29 (2.13–2.46) adjusted; purity coefficient = −0.022 (−0.33 to 0.28)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2.25 (95% CI 2.08–2.41); purity −0.075 (−0.38 to 0.23), P = 0.63; proliferation 0.085 (0.017–0.154), P = 0.015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−77</w:t>
            </w:r>
            <w:r>
              <w:rPr>
                <w:b w:val="false"/>
                <w:bCs w:val="false"/>
                <w:sz w:val="17"/>
                <w:szCs w:val="17"/>
              </w:rPr>
              <w:t xml:space="preserve"> (HPV)</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variance-stabilised expression;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542"/>
        <w:gridCol w:w="1734"/>
        <w:gridCol w:w="1734"/>
        <w:gridCol w:w="2123"/>
      </w:tblGrid>
      <w:tr>
        <w:trPr>
          <w:tblHeader/>
        </w:trPr>
        <w:tc>
          <w:tcPr>
            <w:tcW w:type="dxa" w:w="250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Cell 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Marker</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Expression</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Spearman ρ</w:t>
            </w:r>
          </w:p>
        </w:tc>
        <w:tc>
          <w:tcPr>
            <w:tcW w:type="dxa" w:w="212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0.735</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0.689</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0.913</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MS4A1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0.590</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0.081</w:t>
            </w:r>
          </w:p>
        </w:tc>
      </w:tr>
    </w:tbl>
    <w:p>
      <w:pPr>
        <w:spacing w:after="120"/>
      </w:pPr>
    </w:p>
    <w:p>
      <w:pPr>
        <w:pStyle w:val="Heading2"/>
        <w:keepNext/>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The 95-gene panel with category assignments (cta_geneset.csv). CIBERSORTx fractions for all samples (CIBERSORTx_Job14_Results.csv). Review sensitivity analyses (results/review_sensitivity/: GSE65858_core_module_CIs_and_nulls.json; TCGA_GSE38266_methylation_sensitivity.json; GSE182227_AUC_CI.json).</w:t>
      </w:r>
    </w:p>
    <w:sectPr>
      <w:footerReference w:type="default" r:id="rId14"/>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theme" Target="theme/theme1.xml"/><Relationship Id="rId16" Type="http://schemas.openxmlformats.org/officeDocument/2006/relationships/image" Target="media/ef17e6ea64f6f4afad6ecce76549fdd2b815a383.png"/><Relationship Id="rId17" Type="http://schemas.openxmlformats.org/officeDocument/2006/relationships/image" Target="media/10551d7dc8914368fc64f539f9b16a61458ffade.png"/><Relationship Id="rId18" Type="http://schemas.openxmlformats.org/officeDocument/2006/relationships/image" Target="media/9c67ad18915221fc7251aa3058b9ae1b65c8661c.png"/><Relationship Id="rId19" Type="http://schemas.openxmlformats.org/officeDocument/2006/relationships/image" Target="media/745d36ead80c61aba667abb890d5cb2a2675efb6.png"/><Relationship Id="rId20" Type="http://schemas.openxmlformats.org/officeDocument/2006/relationships/image" Target="media/e31a5905515f902b6357f1cd899fc07ab894f910.png"/><Relationship Id="rId21" Type="http://schemas.openxmlformats.org/officeDocument/2006/relationships/image" Target="media/8a098a26ae1d63897479f459e211ca66f761afb0.png"/><Relationship Id="rId22" Type="http://schemas.openxmlformats.org/officeDocument/2006/relationships/image" Target="media/80835cf801b90539ff50ee48b816cf421b9dbf7d.png"/><Relationship Id="rId23" Type="http://schemas.openxmlformats.org/officeDocument/2006/relationships/image" Target="media/802f1f86545b45c23138c9dfef2351c3372dcf33.png"/><Relationship Id="rId24" Type="http://schemas.openxmlformats.org/officeDocument/2006/relationships/image" Target="media/07d2cfb3b65f9b6ab8d0b5e3ac2ce5bc43e3c652.png"/><Relationship Id="rId25" Type="http://schemas.openxmlformats.org/officeDocument/2006/relationships/image" Target="media/3285164b79e2cb21cbe5a8a90c4ca172af45f79e.png"/><Relationship Id="rId26" Type="http://schemas.openxmlformats.org/officeDocument/2006/relationships/image" Target="media/2c4c087d0a3b75021ef786f550eeb69088cf2a05.png"/><Relationship Id="rId27" Type="http://schemas.openxmlformats.org/officeDocument/2006/relationships/image" Target="media/2abb6f04bd6b49f84458f2c40d866137138a1fd6.png"/><Relationship Id="rId28" Type="http://schemas.openxmlformats.org/officeDocument/2006/relationships/image" Target="media/4c0ef66930f735c67e6647232f9dddbac481fe4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2026-10-25T05:11:08.179Z</dcterms:created>
  <dcterms:modified xsi:type="dcterms:W3CDTF">2026-10-25T05:11:08.181Z</dcterms:modified>
</cp:coreProperties>
</file>

<file path=docProps/custom.xml><?xml version="1.0" encoding="utf-8"?>
<Properties xmlns="http://schemas.openxmlformats.org/officeDocument/2006/custom-properties" xmlns:vt="http://schemas.openxmlformats.org/officeDocument/2006/docPropsVTypes"/>
</file>