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Transcriptionally active HPV-positive head and neck squamous cell carcinoma is associated with a coordinated meiotic gene programme and promoter hypomethylation</w:t>
      </w:r>
    </w:p>
    <w:p>
      <w:pPr>
        <w:spacing w:after="140" w:line="288"/>
        <w:jc w:val="center"/>
      </w:pPr>
      <w:r>
        <w:t xml:space="preserve">Suganth Gopinath Sangeetha</w:t>
      </w:r>
      <w:r>
        <w:rPr>
          <w:vertAlign w:val="superscript"/>
        </w:rPr>
        <w:t xml:space="preserve">1#</w:t>
      </w:r>
      <w:r>
        <w:t xml:space="preserve">,  Rejoy Besra</w:t>
      </w:r>
      <w:r>
        <w:rPr>
          <w:vertAlign w:val="superscript"/>
        </w:rPr>
        <w:t xml:space="preserve">2#</w:t>
      </w:r>
      <w:r>
        <w:t xml:space="preserve">, Naisarg Patel</w:t>
      </w:r>
      <w:r>
        <w:rPr>
          <w:vertAlign w:val="superscript"/>
        </w:rPr>
        <w:t xml:space="preserve">3</w:t>
      </w:r>
      <w:r>
        <w:t xml:space="preserve">, Prakash Lingasamy</w:t>
      </w:r>
      <w:r>
        <w:rPr>
          <w:vertAlign w:val="superscript"/>
        </w:rPr>
        <w:t xml:space="preserve">4,5</w:t>
      </w:r>
      <w:r>
        <w:t xml:space="preserve">, Vino Sundararajan</w:t>
      </w:r>
      <w:r>
        <w:rPr>
          <w:vertAlign w:val="superscript"/>
        </w:rPr>
        <w:t xml:space="preserve">1</w:t>
      </w:r>
      <w:r>
        <w:t xml:space="preserve">, Sajitha Lulu S</w:t>
      </w:r>
      <w:r>
        <w:rPr>
          <w:vertAlign w:val="superscript"/>
        </w:rPr>
        <w:t xml:space="preserve">1</w:t>
      </w:r>
      <w:r>
        <w:t xml:space="preserve">, Andres Salumets</w:t>
      </w:r>
      <w:r>
        <w:rPr>
          <w:vertAlign w:val="superscript"/>
        </w:rPr>
        <w:t xml:space="preserve">3,6,7*</w:t>
      </w:r>
      <w:r>
        <w:t xml:space="preserve">, Vijayachitra Modhukur</w:t>
      </w:r>
      <w:r>
        <w:rPr>
          <w:vertAlign w:val="superscript"/>
        </w:rPr>
        <w:t xml:space="preserve">3,6*</w:t>
      </w:r>
    </w:p>
    <w:p>
      <w:pPr>
        <w:spacing w:after="40"/>
      </w:pPr>
      <w:r>
        <w:rPr>
          <w:vertAlign w:val="superscript"/>
        </w:rPr>
        <w:t xml:space="preserve">1</w:t>
      </w:r>
      <w:r>
        <w:t xml:space="preserve"> Integrative Multiomics Lab, School of Bio Sciences and Technology, Vellore Institute of Technology, Vellore, Tamil Nadu, India</w:t>
      </w:r>
    </w:p>
    <w:p>
      <w:pPr>
        <w:spacing w:after="40"/>
      </w:pPr>
      <w:r>
        <w:rPr>
          <w:vertAlign w:val="superscript"/>
        </w:rPr>
        <w:t xml:space="preserve">2</w:t>
      </w:r>
      <w:r>
        <w:t xml:space="preserve"> Department of Bioscience and Biotechnology, IIT Kharagpur, India</w:t>
      </w:r>
    </w:p>
    <w:p>
      <w:pPr>
        <w:spacing w:after="40"/>
      </w:pPr>
      <w:r>
        <w:rPr>
          <w:vertAlign w:val="superscript"/>
        </w:rPr>
        <w:t xml:space="preserve">3</w:t>
      </w:r>
      <w:r>
        <w:t xml:space="preserve"> Celvia CC AS, 50411 Tartu, Estonia</w:t>
      </w:r>
    </w:p>
    <w:p>
      <w:pPr>
        <w:spacing w:after="40"/>
      </w:pPr>
      <w:r>
        <w:rPr>
          <w:vertAlign w:val="superscript"/>
        </w:rPr>
        <w:t xml:space="preserve">4</w:t>
      </w:r>
      <w:r>
        <w:t xml:space="preserve"> Laboratory of Precision and Nanomedicine, Institute of Biomedicine and Translational Medicine, University of Tartu, Tartu, Estonia</w:t>
      </w:r>
    </w:p>
    <w:p>
      <w:pPr>
        <w:spacing w:after="40"/>
      </w:pPr>
      <w:r>
        <w:rPr>
          <w:vertAlign w:val="superscript"/>
        </w:rPr>
        <w:t xml:space="preserve">5</w:t>
      </w:r>
      <w:r>
        <w:t xml:space="preserve"> Nalam Biosciences OÜ, Tartu, Estonia</w:t>
      </w:r>
    </w:p>
    <w:p>
      <w:pPr>
        <w:spacing w:after="40"/>
      </w:pPr>
      <w:r>
        <w:rPr>
          <w:vertAlign w:val="superscript"/>
        </w:rPr>
        <w:t xml:space="preserve">6</w:t>
      </w:r>
      <w:r>
        <w:t xml:space="preserve"> Department of Obstetrics and Gynecology, Institute of Clinical Medicine, University of Tartu, L. Puusepa 8, Tartu, Estonia</w:t>
      </w:r>
    </w:p>
    <w:p>
      <w:pPr>
        <w:spacing w:after="40"/>
      </w:pPr>
      <w:r>
        <w:rPr>
          <w:vertAlign w:val="superscript"/>
        </w:rPr>
        <w:t xml:space="preserve">7</w:t>
      </w:r>
      <w:r>
        <w:t xml:space="preserve"> Division of Obstetrics and Gynecology, Department of Clinical Science, Intervention and Technology (CLINTEC), Karolinska Institute, and Karolinska University Hospital, Stockholm, Sweden</w:t>
      </w:r>
    </w:p>
    <w:p>
      <w:pPr>
        <w:spacing w:after="140" w:line="288"/>
      </w:pPr>
      <w:r>
        <w:t xml:space="preserve">#These authors share joint first authorship</w:t>
      </w:r>
    </w:p>
    <w:p>
      <w:pPr>
        <w:spacing w:after="140" w:line="288"/>
      </w:pPr>
      <w:r>
        <w:rPr>
          <w:vertAlign w:val="superscript"/>
        </w:rPr>
        <w:t xml:space="preserve">*</w:t>
      </w:r>
      <w:r>
        <w:t xml:space="preserve"> To whom correspondence should be addressed.</w:t>
      </w:r>
    </w:p>
    <w:p>
      <w:pPr>
        <w:spacing w:after="140" w:line="288"/>
      </w:pPr>
      <w:r>
        <w:t xml:space="preserve">Dr. Vijayachitra Modhukur, Department of Obstetrics and Gynaecology, Institute of Clinical Medicine, University of Tartu, Tartu, Estonia. E-mail: vijayachitra.modhukur@ut.ee</w:t>
      </w:r>
    </w:p>
    <w:p>
      <w:pPr>
        <w:spacing w:after="140" w:line="288"/>
      </w:pPr>
      <w:r>
        <w:t xml:space="preserve">Prof. Andres Salumets, Division of Obstetrics and Gynaecology, Department of Clinical Science, Intervention and Technology (CLINTEC), Karolinska Institutet, and Karolinska University Hospital, Stockholm, Sweden. E-mail: andres.salumets@ki.se</w:t>
      </w:r>
    </w:p>
    <w:p>
      <w:pPr>
        <w:pStyle w:val="Heading1"/>
        <w:spacing w:after="140" w:before="280"/>
      </w:pPr>
      <w:r>
        <w:t xml:space="preserve">Abstract</w:t>
      </w:r>
    </w:p>
    <w:p>
      <w:pPr>
        <w:spacing w:after="140" w:line="288"/>
      </w:pPr>
      <w:r>
        <w:rPr>
          <w:b/>
          <w:bCs/>
        </w:rPr>
        <w:t xml:space="preserve">Background.</w:t>
      </w:r>
      <w:r>
        <w:t xml:space="preserve"> Human papillomavirus (HPV)-positive head and neck squamous cell carcinoma exhibits distinct molecular and clinical characteristics. Although aberrant expression of germ-cell genes has been reported, whether these genes represent stochastic epigenetic derepression or a coordinated transcriptional programme remains unclear. This study investigated meiotic gene activation, promoter methylation, viral transcriptional activity and cellular localisation in HPV-associated tumours.</w:t>
      </w:r>
    </w:p>
    <w:p>
      <w:pPr>
        <w:spacing w:after="140" w:line="288"/>
      </w:pPr>
      <w:r>
        <w:rPr>
          <w:b/>
          <w:bCs/>
        </w:rPr>
        <w:t xml:space="preserve">Methods.</w:t>
      </w:r>
      <w:r>
        <w:t xml:space="preserve"> Transcriptomic profiles of 279 primary tumours from The Cancer Genome Atlas were analysed using differential expression analysis and functional enrichment. A literature-curated 95-gene panel and six-gene meiotic module were evaluated across independent expression (GSE65858), methylation (GSE38266) and two single-cell sequencing cohorts (GSE181919 and GSE182227). Promoter methylation, gene co-expression, immune-cell composition and malignant-cell localisation were assessed using Mann–Whitney tests, Spearman correlations, enrichment tests, receiver operating characteristic analysis and regression models, with multiple-testing correction where applicable.</w:t>
      </w:r>
    </w:p>
    <w:p>
      <w:pPr>
        <w:spacing w:after="140" w:line="288"/>
      </w:pPr>
      <w:r>
        <w:rPr>
          <w:b/>
          <w:bCs/>
        </w:rPr>
        <w:t xml:space="preserve">Results.</w:t>
      </w:r>
      <w:r>
        <w:t xml:space="preserve"> Differential expression analysis identified 4,744 genes distinguishing HPV-positive and HPV-negative tumours, including prominent enrichment of meiotic, immune and epithelial differentiation pathways. A six-gene module comprising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showed coordinated expression and promoter hypomethylation. Module expression was inversely associated with methylation (Spearman ρ = −0.755), with methylation differences replicated independently. The module distinguished transcriptionally active HPV-positive tumours from HPV-negative tumours (area under the curve = 0.959), whereas HPV DNA-positive tumours lacking detectable viral transcription showed no significant expression elevation. Classical MAGE/CTAG cancer–testis antigens lacked comparable discrimination (area under the curve = 0.411). Single-cell analyses localised the meiotic signature predominantly to malignant epithelial cells, with independent tumour-level replication. HPV-positive tumours also exhibited increased estimated plasma-cell and CD8-positive T-cell fractions. The meiotic association persisted after accounting for anatomical site, proliferation and tumour purity.</w:t>
      </w:r>
    </w:p>
    <w:p>
      <w:pPr>
        <w:spacing w:after="140" w:line="288"/>
      </w:pPr>
      <w:r>
        <w:rPr>
          <w:b/>
          <w:bCs/>
        </w:rPr>
        <w:t xml:space="preserve">Conclusions.</w:t>
      </w:r>
      <w:r>
        <w:t xml:space="preserve"> Transcriptionally active HPV-positive head and neck carcinomas are associated with a coordinated, promoter-hypomethylated meiotic gene programme that differs from conventional cancer–testis antigen activation. These correlative findings describe a tumour-associated transcriptional signature and motivate mechanistic investigation of virus-associated epigenetic regulation and its potential biomarker relevance.</w:t>
      </w:r>
    </w:p>
    <w:p>
      <w:pPr>
        <w:spacing w:after="140" w:line="288"/>
      </w:pPr>
      <w:r>
        <w:rPr>
          <w:b/>
          <w:bCs/>
        </w:rPr>
        <w:t xml:space="preserve">Keywords:</w:t>
      </w:r>
      <w:r>
        <w:t xml:space="preserve"> Human papillomavirus · Head and neck squamous cell carcinoma · DNA methylation · Meiosis · Cancer–testis antigens · Synaptonemal complex · Meiotic cohesin · Tumour immune microenvironment</w:t>
      </w:r>
    </w:p>
    <w:p>
      <w:pPr>
        <w:pStyle w:val="Heading1"/>
        <w:spacing w:after="140" w:before="280"/>
      </w:pPr>
      <w:r>
        <w:t xml:space="preserve">1. Introduction</w:t>
      </w:r>
    </w:p>
    <w:p>
      <w:pPr>
        <w:spacing w:after="140" w:line="288"/>
      </w:pPr>
      <w:r>
        <w:t xml:space="preserve">Head and neck squamous cell carcinoma (HNSCC) is the sixth most common cancer worldwide, with roughly 900,000 new cases and 450,000 deaths annually [1]. Within it, tumours associated with human papillomavirus (HPV) infection have risen steeply in incidence over the past three decades, particularly in the oropharynx [2]. HPV+ HNSCC is now recognised as a disease entity distinct from its HPV− counterpart, with a different mutational landscape, a characteristic transcriptional profile and a markedly better prognosis [3–5]; these patients are typically younger and have less tobacco and alcohol exposure than those with the classical disease [5, 6]. The prognostic difference is large enough to have changed staging and to have motivated de-escalation trials [6], yet its mechanistic basis is only partly understood, and HPV+ patients who nonetheless relapse cannot currently be identified from viral status alone.</w:t>
      </w:r>
    </w:p>
    <w:p>
      <w:pPr>
        <w:spacing w:after="140" w:line="288"/>
      </w:pPr>
      <w:r>
        <w:t xml:space="preserve">The proximate cause of the difference is viral. The E6 and E7 oncoproteins inactivate p53 and RB, respectively, and in doing so restructure the host cell rather than simply disabling two checkpoints: E7 releases E2F-driven transcription and drives the p16 accumulation used clinically as a surrogate marker, and both proteins engage chromatin-modifying complexes [7]. A substantial part of the resulting distinction is therefore epigenetic. HPV+ tumours carry a reproducible methylation signature [8], E7 can drive locus-specific promoter methylation changes [9], and both hypermethylation and hypomethylation events have been catalogued in this setting [10–12]. Viral DNA can, however, be present without ongoing viral transcription, and integration status and transcriptional activity are not equivalent [13, 14], a distinction that any claim of a virus-driven host programme has to address.</w:t>
      </w:r>
    </w:p>
    <w:p>
      <w:pPr>
        <w:spacing w:after="140" w:line="288"/>
      </w:pPr>
      <w:r>
        <w:t xml:space="preserve">HPV+ and HPV− tumours also differ in cellular composition. HPV+ tumours generally show a more immunologically active microenvironment with greater lymphocytic infiltration, which has been linked to their favourable prognosis [5]. This compartment matters here in two ways: it is part of the biology that distinguishes the two diseases, and it is the main alternative explanation for any expression difference measured in bulk tissue, because a shift in cell proportions can resemble a change of state within tumour cells.</w:t>
      </w:r>
    </w:p>
    <w:p>
      <w:pPr>
        <w:spacing w:after="140" w:line="288"/>
      </w:pPr>
      <w:r>
        <w:t xml:space="preserve">Against this background, germ-cell transcripts in somatic tumours have a long-standing interpretation. Cancer–testis antigens (CTAs), prominently the MAGE, GAGE and CTAG families, are silenced in normal somatic tissue by promoter methylation and become detectable in tumours as that silencing is lost [15, 16]. Global hypomethylation is one of the oldest recognised epigenetic features of malignancy [17], and promoter demethylation can activate cancer-germline genes such as MAGEA1 [18], so ectopic germ-cell expression is usually framed as a largely stochastic by-product: promoters that happen to lose methylation happen to be expressed. This reading underpins interest in CTAs as broadly shared immunotherapeutic targets [19, 20], an interest sharpened in HNSCC by the activity of checkpoint blockade in recurrent and metastatic disease [21].</w:t>
      </w:r>
    </w:p>
    <w:p>
      <w:pPr>
        <w:spacing w:after="140" w:line="288"/>
      </w:pPr>
      <w:r>
        <w:t xml:space="preserve">That framing has been challenged from a different direction. A subset of germ-cell genes expressed in tumours encodes the machinery of meiosis itself: the synaptonemal complex that synapses homologous chromosomes, the meiosis-specific cohesin complex that holds them together, and the recombination and double-strand-break (DSB) factors that execute meiotic pairing. Unlike the MAGE/CTAG families, whose somatic function is largely unknown, these are structurally and enzymatically active components. Meiotic cohesin expressed in mitotic cells generates chromosome instability [22]; the meiotic protein HORMAD1, when expressed in tumours, has been linked to genomic instability and homologous-recombination deficiency [23, 24] and to the protection of stalled replication forks [25]; and the concept of “meiomitosis” proposes that partial, mis-scheduled activation of the meiotic programme in somatic cells may itself be oncogenic [26]. Isolated testis-antigen de-repression may therefore be a passenger event, whereas meiotic reactivation may represent a candidate oncogenic programme.</w:t>
      </w:r>
    </w:p>
    <w:p>
      <w:pPr>
        <w:spacing w:after="140" w:line="288"/>
      </w:pPr>
      <w:r>
        <w:t xml:space="preserve">Individual meiotic genes are already known to be associated with HPV. Pyeon et al. reported that HPV+ head and neck and cervical cancers overexpress testis-specific genes normally expressed only in meiotic cells, that </w:t>
      </w:r>
      <w:r>
        <w:rPr>
          <w:i/>
          <w:iCs/>
        </w:rPr>
        <w:t xml:space="preserve">SYCP2</w:t>
      </w:r>
      <w:r>
        <w:t xml:space="preserve"> and TCAM1 are synergistically induced by E6 and E7, and that </w:t>
      </w:r>
      <w:r>
        <w:rPr>
          <w:i/>
          <w:iCs/>
        </w:rPr>
        <w:t xml:space="preserve">STAG3</w:t>
      </w:r>
      <w:r>
        <w:t xml:space="preserve"> is upregulated in HPV+ head and neck cancer [27]. </w:t>
      </w:r>
      <w:r>
        <w:rPr>
          <w:i/>
          <w:iCs/>
        </w:rPr>
        <w:t xml:space="preserve">SYCP2</w:t>
      </w:r>
      <w:r>
        <w:t xml:space="preserve"> deregulation was subsequently proposed as a marker of early-stage HPV+ oropharyngeal carcinoma [28]; a hypomethylated CpG-island-shore region at </w:t>
      </w:r>
      <w:r>
        <w:rPr>
          <w:i/>
          <w:iCs/>
        </w:rPr>
        <w:t xml:space="preserve">SYCP2</w:t>
      </w:r>
      <w:r>
        <w:t xml:space="preserve"> correlated with its expression in TCGA HNSCC, with </w:t>
      </w:r>
      <w:r>
        <w:rPr>
          <w:i/>
          <w:iCs/>
        </w:rPr>
        <w:t xml:space="preserve">SYCP2</w:t>
      </w:r>
      <w:r>
        <w:t xml:space="preserve"> and </w:t>
      </w:r>
      <w:r>
        <w:rPr>
          <w:i/>
          <w:iCs/>
        </w:rPr>
        <w:t xml:space="preserve">SMC1B</w:t>
      </w:r>
      <w:r>
        <w:t xml:space="preserve"> among hypomethylated, overexpressed genes [8]; and </w:t>
      </w:r>
      <w:r>
        <w:rPr>
          <w:i/>
          <w:iCs/>
        </w:rPr>
        <w:t xml:space="preserve">SYCP2</w:t>
      </w:r>
      <w:r>
        <w:t xml:space="preserve"> and </w:t>
      </w:r>
      <w:r>
        <w:rPr>
          <w:i/>
          <w:iCs/>
        </w:rPr>
        <w:t xml:space="preserve">TAF7L</w:t>
      </w:r>
      <w:r>
        <w:t xml:space="preserve"> emerged from a combined TCGA expression and methylation analysis [29]. What has not been established is whether these genes behave as a specific, coordinated programme rather than as independent de-repression events: whether expression is confined to the meiotic machinery as opposed to the MAGE/CTAG antigens, whether the genes are co-regulated, whether expression depends on viral transcription rather than viral DNA, whether it is coupled to promoter methylation across the programme, and whether it resides in malignant cells. These two views have rarely been tested against each other in the same tumours, and HPV+ HNSCC is an informative setting in which to do so. It combines extensive methylome remodelling [8, 10] with a defined initiating agent whose transcriptional activity can be measured independently of viral DNA [14], and well-characterised public cohorts with paired methylation and expression data are available [3]. The two models make different predictions. Stochastic de-repression predicts that germ-cell expression is distributed across germ-cell gene classes in proportion to their promoter methylation, that affected genes vary independently between tumours, and that the phenomenon tracks global hypomethylation rather than any particular viral activity. Programmatic reactivation predicts concentration in one functional class, correlated behaviour among its members, and dependence on the driving stimulus.</w:t>
      </w:r>
    </w:p>
    <w:p>
      <w:pPr>
        <w:spacing w:after="140" w:line="288"/>
      </w:pPr>
      <w:r>
        <w:t xml:space="preserve">Here we characterise the transcriptome of HPV+ HNSCC and test these predictions. We asked which genes and pathways distinguish HPV+ from HPV− tumours and whether germ-cell expression is concentrated in the meiotic machinery; whether the affected genes behave as a coordinated module; whether their expression is accompanied by promoter demethylation and tracks viral DNA or viral transcriptional activity; how the immune microenvironment differs between HPV+ and HPV− tumours and whether the meiotic programme resides in malignant cells rather than in that microenvironment; and, in exploratory analyses, whether expression of the leading HPV-associated genes is associated with overall survival. Throughout, the classic MAGE/CTAG antigens serve as an internal comparator that the stochastic model predicts should behave like the meiotic genes. The study design and principal findings are summarised in Fig. 1.</w:t>
      </w:r>
    </w:p>
    <w:p>
      <w:pPr>
        <w:keepNext/>
        <w:spacing w:after="80" w:before="120"/>
        <w:jc w:val="center"/>
      </w:pPr>
      <w:r>
        <w:drawing>
          <wp:inline distT="0" distB="0" distL="0" distR="0">
            <wp:extent cx="6096000" cy="3895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95725"/>
                    </a:xfrm>
                    <a:prstGeom prst="rect">
                      <a:avLst/>
                    </a:prstGeom>
                  </pic:spPr>
                </pic:pic>
              </a:graphicData>
            </a:graphic>
          </wp:inline>
        </w:drawing>
      </w:r>
    </w:p>
    <w:p>
      <w:pPr>
        <w:spacing w:after="220" w:line="260"/>
      </w:pPr>
      <w:r>
        <w:rPr>
          <w:b/>
          <w:bCs/>
          <w:sz w:val="18"/>
          <w:szCs w:val="18"/>
        </w:rPr>
        <w:t xml:space="preserve">Figure 1. Overview of the study design and principal findings.</w:t>
      </w:r>
      <w:r>
        <w:rPr>
          <w:sz w:val="18"/>
          <w:szCs w:val="18"/>
        </w:rPr>
        <w:t xml:space="preserve"> Five cohorts were analysed (TCGA-HNSC; GSE65858; GSE38266; GSE181919 and GSE182227). In HPV+ tumours the six-gene core meiotic score separated transcriptionally active HPV+ from HPV− tumours (AUC = 0.959), whereas HPV DNA-positive, transcriptionally silent tumours did not differ (P = 0.56); 18 of 49 panel promoters were hypomethylated, with methylation inversely correlated with expression (ρ = −0.755); the core genes were co-expressed (mean ρ = 0.556 in HPV+ vs 0.149 in HPV− tumours), and the MAGE/CTAG antigens did not discriminate (AUC = 0.411). HPV+ tumours had higher estimated plasma-cell and CD8+ T-cell fractions and lower M0 macrophage fractions (CIBERSORTx), and in single-cell data the meiotic signal was confined to malignant cells (Δ = 0.100 vs ≤ 0.011 in non-malignant cells). All findings are associations.</w:t>
      </w:r>
    </w:p>
    <w:p>
      <w:pPr>
        <w:pStyle w:val="Heading1"/>
        <w:spacing w:after="140" w:before="280"/>
      </w:pPr>
      <w:r>
        <w:t xml:space="preserve">2. Materials and Methods</w:t>
      </w:r>
    </w:p>
    <w:p>
      <w:pPr>
        <w:pStyle w:val="Heading2"/>
        <w:keepNext/>
        <w:spacing w:after="100" w:before="200"/>
      </w:pPr>
      <w:r>
        <w:t xml:space="preserve">2.1. Data sources and cohort selection</w:t>
      </w:r>
    </w:p>
    <w:p>
      <w:pPr>
        <w:spacing w:after="140" w:line="288"/>
      </w:pPr>
      <w:r>
        <w:t xml:space="preserve">Raw gene-level RNA-sequencing counts for TCGA-HNSC (STAR – Counts workflow) were obtained from the Genomic Data Commons with TCGAbiolinks. Samples were restricted to primary tumours (sample type code 01), and cases without an HPV call were excluded; genomic and clinical records were matched on the first 15 characters of the TCGA barcode. Of 566 RNA-seq samples, 520 were primary tumours and 279 had an HPV call (36 HPV+, 243 HPV−). These 279 tumours form the transcriptomic cohort used for differential expression, enrichment, immune deconvolution and survival analyses. Baseline clinical characteristics were compared between HPV groups with the Wilcoxon rank-sum test for continuous variables and Fisher’s exact or χ² tests for categorical variables (Table 1).</w:t>
      </w:r>
    </w:p>
    <w:p>
      <w:pPr>
        <w:spacing w:after="140" w:line="288"/>
      </w:pPr>
      <w:r>
        <w:t xml:space="preserve">The panel and methylation analyses used a separate processing of the same study: RSEM-normalised expression (Z-scored) and HM450 methylation (β-values) retrieved through the cBioPortal API [30, 31]. Panel-gene coverage and the completeness of p16/in situ hybridisation (ISH) annotations give these analyses smaller sample counts (Table 2). The two TCGA sample sets are therefore not interchangeable, and each analysis below states which it uses.</w:t>
      </w:r>
    </w:p>
    <w:p>
      <w:pPr>
        <w:spacing w:after="140" w:line="288"/>
      </w:pPr>
      <w:r>
        <w:t xml:space="preserve">Four further cohorts were analysed (Table 2). GSE65858 [14] was used for transcriptional validation and downloaded as a GEO series matrix (Illumina HT-12 v4), with probes collapsed to gene symbols by maximum mean intensity using the GPL10558 annotation. GSE38266 [10] provided HM450 data for oropharyngeal tumours only, so that anatomical site was controlled by design; probes were mapped to panel genes through the GPL13534 manifest and restricted to promoter-proximal probes. Two single-cell RNA-seq cohorts were used: GSE181919 [32], which annotates HPV status, tissue type and cell-type identity per barcode and was restricted to primary tumour specimens, and GSE182227 [33], an oropharyngeal cohort deposited without cell-type or malignant-cell labels. In both single-cell cohorts, counts were normalised to 10,000 counts per cell and log-transformed.</w:t>
      </w:r>
    </w:p>
    <w:p>
      <w:pPr>
        <w:pStyle w:val="Heading2"/>
        <w:keepNext/>
        <w:spacing w:after="100" w:before="200"/>
      </w:pPr>
      <w:r>
        <w:t xml:space="preserve">2.2. HPV classification</w:t>
      </w:r>
    </w:p>
    <w:p>
      <w:pPr>
        <w:spacing w:after="140" w:line="288"/>
      </w:pPr>
      <w:r>
        <w:t xml:space="preserve">In the transcriptomic cohort, HPV status was taken from the TCGA Network characterisation of HNSCC [3] (cBioPortal study hnsc_tcga_pub), in which viral status was called primarily from HPV transcripts in RNA-sequencing data. In the panel and methylation analyses, HPV status was taken from the p16 and ISH clinical annotations: a tumour was called HPV+ if either assay was positive and was excluded if neither returned a call. Both attributes are recorded at patient level and were mapped to the primary-tumour sample barcode; these calls were audited against the HPV calls supplied by the originating project for samples common to both. GSE65858 records HPV DNA status and HPV transcriptional activity as separate variables, allowing a three-way split into HPV+ tumours with active viral transcription, HPV DNA-positive but transcriptionally silent tumours, and HPV− tumours; samples without a usable call were excluded. Because p16 positivity outside the oropharynx is often unrelated to HPV, two stricter TCGA definitions were used as sensitivity analyses: ISH positivity alone, and the p16-or-ISH rule restricted to oropharyngeal tumours (tonsil, base of tongue and oropharynx).</w:t>
      </w:r>
    </w:p>
    <w:p>
      <w:pPr>
        <w:pStyle w:val="Heading2"/>
        <w:keepNext/>
        <w:spacing w:after="100" w:before="200"/>
      </w:pPr>
      <w:r>
        <w:t xml:space="preserve">2.3. Differential expression analysis</w:t>
      </w:r>
    </w:p>
    <w:p>
      <w:pPr>
        <w:spacing w:after="140" w:line="288"/>
      </w:pPr>
      <w:r>
        <w:t xml:space="preserve">Differential expression between HPV+ and HPV− tumours was assessed with DESeq2 (v1.52.0) [34] using a negative-binomial generalised linear model with HPV status as the explanatory variable (design ∼ HPV status; reference level HPV−). Size-factor normalisation and dispersion estimation followed the standard DESeq2 workflow, and P values were adjusted with the Benjamini–Hochberg procedure. Genes with FDR &lt; 0.05 and |log</w:t>
      </w:r>
      <w:r>
        <w:rPr>
          <w:vertAlign w:val="subscript"/>
        </w:rPr>
        <w:t xml:space="preserve">2</w:t>
      </w:r>
      <w:r>
        <w:t xml:space="preserve">FC| &gt; 1 were considered differentially expressed. Because HPV+ tumours were predominantly oropharyngeal, a sensitivity analysis added primary site as a covariate (design ∼ site + HPV status), with sites grouped as oral cavity, oropharynx and other to avoid sparse categories. Variance-stabilised expression was used for principal component analysis and survival modelling.</w:t>
      </w:r>
    </w:p>
    <w:p>
      <w:pPr>
        <w:pStyle w:val="Heading2"/>
        <w:keepNext/>
        <w:spacing w:after="100" w:before="200"/>
      </w:pPr>
      <w:r>
        <w:t xml:space="preserve">2.4. Functional enrichment and gene set enrichment analysis</w:t>
      </w:r>
    </w:p>
    <w:p>
      <w:pPr>
        <w:spacing w:after="140" w:line="288"/>
      </w:pPr>
      <w:r>
        <w:t xml:space="preserve">Gene Ontology (GO) biological-process and KEGG pathway over-representation analyses were performed separately for up- and downregulated genes with clusterProfiler (v4.20.0) [35], using all genes passing expression filtering as the background; terms with adjusted P &lt; 0.05 were considered significant. Gene set enrichment analysis (GSEA) [36] was performed with clusterProfiler (gseGO) against GO biological-process gene sets, using the full gene ranking by the DESeq2 Wald statistic (duplicate identifiers collapsed by maximum Wald statistic; gene-set size 10–500; Benjamini–Hochberg correction; random seed 123). Because gene symbols in the count matrix were incompletely annotated, identifiers were re-mapped to current HGNC symbols before panel genes were queried. Over-representation of panel genes among upregulated genes was assessed with the hypergeometric test at two significance thresholds; category-level enrichment was assessed with the hypergeometric test with Bonferroni correction across categories, and meiotic categories were compared with the MAGE/CTAG comparator by Fisher’s exact test.</w:t>
      </w:r>
    </w:p>
    <w:p>
      <w:pPr>
        <w:pStyle w:val="Heading2"/>
        <w:keepNext/>
        <w:spacing w:after="100" w:before="200"/>
      </w:pPr>
      <w:r>
        <w:t xml:space="preserve">2.5. Gene panel and core module definition</w:t>
      </w:r>
    </w:p>
    <w:p>
      <w:pPr>
        <w:spacing w:after="140" w:line="288"/>
      </w:pPr>
      <w:r>
        <w:t xml:space="preserve">The panel comprises 95 genes in seven categories. Its scope was motivated by the genome-wide enrichment analysis, which identified meiosis as a dominant HPV-associated theme; gene membership, however, was defined from the meiosis literature and CTdatabase family conventions rather than from the differential-expression results, and category assignments were fixed before the analyses below. Six categories cover the germline machinery: synaptonemal complex (n = 10), meiosis-specific cohesin (4), meiotic recombination and DSB factors (23), piRNA/Tudor germline factors (12), cell-cycle regulators with meiosis-specific roles (5) and other germ-cell genes (8). The seventh category, the classic MAGE/CTAG cancer–testis antigen family (33), is the comparator predicted to behave equivalently under stochastic de-repression.</w:t>
      </w:r>
    </w:p>
    <w:p>
      <w:pPr>
        <w:spacing w:after="140" w:line="288"/>
      </w:pPr>
      <w:r>
        <w:t xml:space="preserve">Because the discovery, validation, replication and single-cell datasets were generated on different platforms, a single core module was defined so that the same score could be computed in every cohort. A gene was retained only if it was measurable in every cohort: the TCGA-HNSC expression and HM450 methylation matrices, the GSE65858 array after probe collapsing, the GSE38266 HM450 matrix restricted to promoter-proximal probes, and both single-cell count matrices. Expression levels, effect sizes, P values and the HPV contrast were not considered. One core gene, </w:t>
      </w:r>
      <w:r>
        <w:rPr>
          <w:i/>
          <w:iCs/>
        </w:rPr>
        <w:t xml:space="preserve">MAJIN</w:t>
      </w:r>
      <w:r>
        <w:t xml:space="preserve">, is recorded under its previous HGNC symbol </w:t>
      </w:r>
      <w:r>
        <w:rPr>
          <w:i/>
          <w:iCs/>
        </w:rPr>
        <w:t xml:space="preserve">C11orf85</w:t>
      </w:r>
      <w:r>
        <w:t xml:space="preserve"> in the deposited single-cell matrices, so both symbols were queried (Supplementary Table S1).</w:t>
      </w:r>
    </w:p>
    <w:p>
      <w:pPr>
        <w:pStyle w:val="Heading2"/>
        <w:keepNext/>
        <w:spacing w:after="100" w:before="200"/>
      </w:pPr>
      <w:r>
        <w:t xml:space="preserve">2.6. Promoter methylation and methylation–expression coupling</w:t>
      </w:r>
    </w:p>
    <w:p>
      <w:pPr>
        <w:spacing w:after="140" w:line="288"/>
      </w:pPr>
      <w:r>
        <w:t xml:space="preserve">In TCGA-HNSC, methylation was summarised per gene with the cBioPortal gene-level HM450 β-value, which, for genes with multiple probes, is the probe most anti-correlated with expression; these gene-level values underlie all panel-wide TCGA methylation results and are distinct from the probe-level promoter analysis of the core module described below. HPV+ versus HPV− differences were tested with the Mann–Whitney U test and Benjamini–Hochberg correction across all testable panel genes. Methylation–expression coupling was assessed per gene as the Spearman correlation between β and expression across samples with both measurements. At sample level, a composite methylation score (mean Z-scored β over the 18 hypomethylated genes) and a composite meiotic expression score (mean Z-scored expression over the core module) were correlated. Replication in GSE38266 was assessed in three ways. The first two used a gene-level summary in GSE38266 (mean β over promoter-proximal probes, 44 genes shared with the discovery cohort): Spearman correlation of per-gene HPV+ minus HPV− methylation differences between the two cohorts, and a sign-concordance binomial test over the same genes, which is insensitive to platform differences in dynamic range. The third was a set-level comparison of mean methylation across the 227 promoter-proximal probes (GPL13534 manifest) mapping to 16 of the 18 genes hypomethylated in TCGA-HNSC.</w:t>
      </w:r>
    </w:p>
    <w:p>
      <w:pPr>
        <w:spacing w:after="140" w:line="288"/>
      </w:pPr>
      <w:r>
        <w:t xml:space="preserve">To apply a single promoter definition in both methylation cohorts, the core-module analyses were repeated with probe-level β values: GDC-harmonised (SeSAMe) HM450 β values for the 125 TCGA-HNSC tumours [37] and the deposited β values for GSE38266. Promoter CpGs were defined identically in both cohorts as those lying between 1,500 bp upstream and 500 bp downstream of an annotated transcription start site of the gene (GENCODE v36 HM450 manifest [38]), and, for comparison only, the mean β of all annotated probes of each gene was recomputed from the GDC data (this is not the cBioPortal value, which is a single probe per gene). Because </w:t>
      </w:r>
      <w:r>
        <w:rPr>
          <w:i/>
          <w:iCs/>
        </w:rPr>
        <w:t xml:space="preserve">MEI1</w:t>
      </w:r>
      <w:r>
        <w:t xml:space="preserve"> and </w:t>
      </w:r>
      <w:r>
        <w:rPr>
          <w:i/>
          <w:iCs/>
        </w:rPr>
        <w:t xml:space="preserve">STAG3</w:t>
      </w:r>
      <w:r>
        <w:t xml:space="preserve"> are also expressed in B and plasma cells, HPV effects on core-module methylation were re-estimated in linear models adjusted for B-cell and plasma-cell content, measured by CIBERSORTx B-cell plus plasma-cell fractions where available and, for all tumours with expression data, by a marker-expression score (mean Z-score of </w:t>
      </w:r>
      <w:r>
        <w:rPr>
          <w:i/>
          <w:iCs/>
        </w:rPr>
        <w:t xml:space="preserve">CD19</w:t>
      </w:r>
      <w:r>
        <w:t xml:space="preserve">, </w:t>
      </w:r>
      <w:r>
        <w:rPr>
          <w:i/>
          <w:iCs/>
        </w:rPr>
        <w:t xml:space="preserve">CD79A</w:t>
      </w:r>
      <w:r>
        <w:t xml:space="preserve">, </w:t>
      </w:r>
      <w:r>
        <w:rPr>
          <w:i/>
          <w:iCs/>
        </w:rPr>
        <w:t xml:space="preserve">JCHAIN</w:t>
      </w:r>
      <w:r>
        <w:t xml:space="preserve">, </w:t>
      </w:r>
      <w:r>
        <w:rPr>
          <w:i/>
          <w:iCs/>
        </w:rPr>
        <w:t xml:space="preserve">MS4A1</w:t>
      </w:r>
      <w:r>
        <w:t xml:space="preserve"> and </w:t>
      </w:r>
      <w:r>
        <w:rPr>
          <w:i/>
          <w:iCs/>
        </w:rPr>
        <w:t xml:space="preserve">MZB1</w:t>
      </w:r>
      <w:r>
        <w:t xml:space="preserve">), which correlated with the CIBERSORTx B-cell plus plasma-cell fraction across the 279 transcriptomic tumours (Spearman ρ = 0.697).</w:t>
      </w:r>
    </w:p>
    <w:p>
      <w:pPr>
        <w:pStyle w:val="Heading2"/>
        <w:keepNext/>
        <w:spacing w:after="100" w:before="200"/>
      </w:pPr>
      <w:r>
        <w:t xml:space="preserve">2.7. Module scoring, specificity and coordination</w:t>
      </w:r>
    </w:p>
    <w:p>
      <w:pPr>
        <w:spacing w:after="140" w:line="288"/>
      </w:pPr>
      <w:r>
        <w:t xml:space="preserve">In the bulk cohorts, a module score was the mean Z-scored expression of its member genes. Discrimination between groups was quantified as the area under the receiver-operating-characteristic curve (AUC), with Mann–Whitney P values, for the module score, for each gene and for each panel category; 95% confidence intervals for AUCs were obtained with DeLong's method [39] and checked against a stratified bootstrap (2,000 resamples); for the category-level and single-cell comparator AUCs, for which per-sample scores were not re-derived, intervals were obtained with the Hanley–McNeil method from the AUC and group sizes [40]. In GSE65858, transcriptionally active HPV+ tumours and DNA-positive but transcriptionally silent tumours were each compared with HPV− tumours. Because stochastic de-repression predicts similar behaviour across germ-cell gene classes, specificity was assessed separately within each of the seven panel categories, and the meiotic categories were compared with the MAGE/CTAG comparator. Coordination was quantified as the mean off-diagonal Spearman correlation among module genes within each group. To account for the smaller HPV+ group, an empirical null distribution was generated from 1,000 random HPV− subsets matched to the HPV+ group size, giving an empirical 95% interval and permutation P value for the observed coherence of each HPV+ group (35 transcriptionally active and 25 transcriptionally silent tumours).</w:t>
      </w:r>
    </w:p>
    <w:p>
      <w:pPr>
        <w:pStyle w:val="Heading2"/>
        <w:keepNext/>
        <w:spacing w:after="100" w:before="200"/>
      </w:pPr>
      <w:r>
        <w:t xml:space="preserve">2.8. Immune-cell deconvolution</w:t>
      </w:r>
    </w:p>
    <w:p>
      <w:pPr>
        <w:spacing w:after="140" w:line="288"/>
      </w:pPr>
      <w:r>
        <w:t xml:space="preserve">Immune-cell composition of the 279 TCGA tumours was estimated with CIBERSORTx [41] and the LM22 signature matrix of 22 immune-cell populations. Raw counts were converted to transcripts per million (TPM), Ensembl identifiers were mapped to HGNC symbols with org.Hs.eg.db (for duplicated symbols, the row with the highest mean expression was retained), and deconvolution was run in relative mode with 100 permutations, without quantile normalisation or batch correction. Fractions were compared between HPV groups with the Wilcoxon rank-sum test and Benjamini–Hochberg correction across all 22 populations (FDR &lt; 0.05). Estimates were validated by Spearman correlation of CD8+ T-cell fractions with variance-stabilised </w:t>
      </w:r>
      <w:r>
        <w:rPr>
          <w:i/>
          <w:iCs/>
        </w:rPr>
        <w:t xml:space="preserve">CD8A</w:t>
      </w:r>
      <w:r>
        <w:t xml:space="preserve"> and </w:t>
      </w:r>
      <w:r>
        <w:rPr>
          <w:i/>
          <w:iCs/>
        </w:rPr>
        <w:t xml:space="preserve">CD8B</w:t>
      </w:r>
      <w:r>
        <w:t xml:space="preserve"> expression and of plasma-cell fractions with </w:t>
      </w:r>
      <w:r>
        <w:rPr>
          <w:i/>
          <w:iCs/>
        </w:rPr>
        <w:t xml:space="preserve">IGHM</w:t>
      </w:r>
      <w:r>
        <w:t xml:space="preserve"> and </w:t>
      </w:r>
      <w:r>
        <w:rPr>
          <w:i/>
          <w:iCs/>
        </w:rPr>
        <w:t xml:space="preserve">MS4A1</w:t>
      </w:r>
      <w:r>
        <w:t xml:space="preserve"> expression in the TPM matrix supplied to CIBERSORTx. As an exploratory summary, a log</w:t>
      </w:r>
      <w:r>
        <w:rPr>
          <w:vertAlign w:val="subscript"/>
        </w:rPr>
        <w:t xml:space="preserve">2</w:t>
      </w:r>
      <w:r>
        <w:t xml:space="preserve"> CD8/M2 ratio, log</w:t>
      </w:r>
      <w:r>
        <w:rPr>
          <w:vertAlign w:val="subscript"/>
        </w:rPr>
        <w:t xml:space="preserve">2</w:t>
      </w:r>
      <w:r>
        <w:t xml:space="preserve">[(CD8 T cells + 10</w:t>
      </w:r>
      <w:r>
        <w:rPr>
          <w:vertAlign w:val="superscript"/>
        </w:rPr>
        <w:t xml:space="preserve">−6</w:t>
      </w:r>
      <w:r>
        <w:t xml:space="preserve">)/(M2 macrophages + 10</w:t>
      </w:r>
      <w:r>
        <w:rPr>
          <w:vertAlign w:val="superscript"/>
        </w:rPr>
        <w:t xml:space="preserve">−6</w:t>
      </w:r>
      <w:r>
        <w:t xml:space="preserve">)], was compared between groups with the Wilcoxon test.</w:t>
      </w:r>
    </w:p>
    <w:p>
      <w:pPr>
        <w:pStyle w:val="Heading2"/>
        <w:keepNext/>
        <w:spacing w:after="100" w:before="200"/>
      </w:pPr>
      <w:r>
        <w:t xml:space="preserve">2.9. Confounder controls</w:t>
      </w:r>
    </w:p>
    <w:p>
      <w:pPr>
        <w:spacing w:after="140" w:line="288"/>
      </w:pPr>
      <w:r>
        <w:t xml:space="preserve">Three potential confounders of the meiotic signal were addressed. In GSE65858 (virus-active HPV+ vs HPV− tumours), anatomical site was controlled by repeating the analysis in oropharyngeal tumours only, and proliferation, summarised as the mean Z-score of eight proliferation-associated genes (</w:t>
      </w:r>
      <w:r>
        <w:rPr>
          <w:i/>
          <w:iCs/>
        </w:rPr>
        <w:t xml:space="preserve">MKI67</w:t>
      </w:r>
      <w:r>
        <w:t xml:space="preserve">, </w:t>
      </w:r>
      <w:r>
        <w:rPr>
          <w:i/>
          <w:iCs/>
        </w:rPr>
        <w:t xml:space="preserve">CCNB1</w:t>
      </w:r>
      <w:r>
        <w:t xml:space="preserve">, </w:t>
      </w:r>
      <w:r>
        <w:rPr>
          <w:i/>
          <w:iCs/>
        </w:rPr>
        <w:t xml:space="preserve">TOP2A</w:t>
      </w:r>
      <w:r>
        <w:t xml:space="preserve">, </w:t>
      </w:r>
      <w:r>
        <w:rPr>
          <w:i/>
          <w:iCs/>
        </w:rPr>
        <w:t xml:space="preserve">BUB1</w:t>
      </w:r>
      <w:r>
        <w:t xml:space="preserve">, </w:t>
      </w:r>
      <w:r>
        <w:rPr>
          <w:i/>
          <w:iCs/>
        </w:rPr>
        <w:t xml:space="preserve">CDK1</w:t>
      </w:r>
      <w:r>
        <w:t xml:space="preserve">, </w:t>
      </w:r>
      <w:r>
        <w:rPr>
          <w:i/>
          <w:iCs/>
        </w:rPr>
        <w:t xml:space="preserve">AURKA</w:t>
      </w:r>
      <w:r>
        <w:t xml:space="preserve">, </w:t>
      </w:r>
      <w:r>
        <w:rPr>
          <w:i/>
          <w:iCs/>
        </w:rPr>
        <w:t xml:space="preserve">PLK1</w:t>
      </w:r>
      <w:r>
        <w:t xml:space="preserve"> and </w:t>
      </w:r>
      <w:r>
        <w:rPr>
          <w:i/>
          <w:iCs/>
        </w:rPr>
        <w:t xml:space="preserve">TYMS</w:t>
      </w:r>
      <w:r>
        <w:t xml:space="preserve">), was included as a covariate in logistic regression models of HPV status on the core meiotic score, given the functional overlap between meiotic and mitotic cell-cycle processes. In TCGA-HNSC, tumour purity was addressed by merging ABSOLUTE purity estimates [42], testing their association with HPV status and with the core meiotic score, and adding purity, and then purity and proliferation, as covariates to a linear model of the core meiotic score on HPV status. p16 expression was not used as a covariate, because p16 status is one of the two assays that define HPV status in the TCGA panel cohort and adjustment would condition on a component of the outcome definition.</w:t>
      </w:r>
    </w:p>
    <w:p>
      <w:pPr>
        <w:pStyle w:val="Heading2"/>
        <w:keepNext/>
        <w:spacing w:after="100" w:before="200"/>
      </w:pPr>
      <w:r>
        <w:t xml:space="preserve">2.10. Single-cell analysis</w:t>
      </w:r>
    </w:p>
    <w:p>
      <w:pPr>
        <w:spacing w:after="140" w:line="288"/>
      </w:pPr>
      <w:r>
        <w:t xml:space="preserve">In GSE181919, each deposited cell-type label was re-tested for enrichment of canonical lineage markers relative to all other labelled cell types, and per-cell-type sequencing depth was tabulated to detect compartment-specific dropout. Module activity was scored per cell with the control-gene-binned method of Tirosh et al. [43], which corrects the mean expression of a gene set against 50 expression-matched control genes drawn from 25 bins. Two meiotic scores were used: the six-gene core score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w:t>
      </w:r>
      <w:r>
        <w:rPr>
          <w:i/>
          <w:iCs/>
        </w:rPr>
        <w:t xml:space="preserve">MAJIN</w:t>
      </w:r>
      <w:r>
        <w:t xml:space="preserve">) and a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that excludes </w:t>
      </w:r>
      <w:r>
        <w:rPr>
          <w:i/>
          <w:iCs/>
        </w:rPr>
        <w:t xml:space="preserve">MEI1</w:t>
      </w:r>
      <w:r>
        <w:t xml:space="preserve"> and </w:t>
      </w:r>
      <w:r>
        <w:rPr>
          <w:i/>
          <w:iCs/>
        </w:rPr>
        <w:t xml:space="preserve">STAG3</w:t>
      </w:r>
      <w:r>
        <w:t xml:space="preserve">, the two core genes detected in lymphocytes (Section 3.11); a five-gene version omitting </w:t>
      </w:r>
      <w:r>
        <w:rPr>
          <w:i/>
          <w:iCs/>
        </w:rPr>
        <w:t xml:space="preserve">MAJIN</w:t>
      </w:r>
      <w:r>
        <w:t xml:space="preserve"> was computed only as a sensitivity analysis. Scores were also computed for the wider meiotic panel, the MAGE/CTAG comparator and a six-gene proliferation score. Group differences were assessed with two-sided Mann–Whitney tests (exact at tumour level in GSE181919), with rank-biserial AUC as the effect size. Because cells from the same tumour are not independent, a linear mixed model was fitted with patient as a random effect, log-transformed per-cell gene count as a covariate and an HPV × malignant interaction term; in addition, malignant cells were aggregated into one pseudobulk profile per tumour (counts per million; patients contributing fewer than 20 malignant cells excluded). Per-gene detection rates were compared with Fisher’s exact test and Benjamini–Hochberg correction, and the compartment specificity of each core gene was quantified as its detection rate in malignant cells divided by that in the non-malignant compartment with the highest detection rate.</w:t>
      </w:r>
    </w:p>
    <w:p>
      <w:pPr>
        <w:spacing w:after="140" w:line="288"/>
      </w:pPr>
      <w:r>
        <w:t xml:space="preserve">Cell-type and malignant-cell assignments were not available for GSE182227 and were derived de novo. Clusters were annotated with the same canonical marker panels, each lineage being required to show enrichment for its own markers relative to all other cells. The epithelial compartment was divided into malignant and normal epithelium using two criteria that were independent of HPV status and of any meiotic gene: the fraction of cells in each epithelial cluster that originated from adjacent-normal tissue, and a per-cell copy-number score inferred from windowed expression along the genome. A cluster was classified as normal only when both criteria agreed. Malignant cells were aggregated into one profile per tumour, and the HPV contrast was tested at tumour level with the Mann–Whitney test and AUC. Proliferation was pre-specified as the principal confounder and included as a covariate in linear models of the per-tumour meiotic score, fitted within each cohort and in the pooled data; robustness was assessed with heteroskedasticity-consistent standard errors and Huber robust regression.</w:t>
      </w:r>
    </w:p>
    <w:p>
      <w:pPr>
        <w:pStyle w:val="Heading2"/>
        <w:keepNext/>
        <w:spacing w:after="100" w:before="200"/>
      </w:pPr>
      <w:r>
        <w:t xml:space="preserve">2.11. Exploratory survival analysis</w:t>
      </w:r>
    </w:p>
    <w:p>
      <w:pPr>
        <w:spacing w:after="140" w:line="288"/>
      </w:pPr>
      <w:r>
        <w:t xml:space="preserve">Overall survival (months) and vital status for the 279-tumour transcriptomic cohort were taken from the cBioPortal TCGA-HNSC clinical annotation. The nine most significant HPV-upregulated genes (</w:t>
      </w:r>
      <w:r>
        <w:rPr>
          <w:i/>
          <w:iCs/>
        </w:rPr>
        <w:t xml:space="preserve">LOC375196</w:t>
      </w:r>
      <w:r>
        <w:t xml:space="preserve">, </w:t>
      </w:r>
      <w:r>
        <w:rPr>
          <w:i/>
          <w:iCs/>
        </w:rPr>
        <w:t xml:space="preserve">STAG3</w:t>
      </w:r>
      <w:r>
        <w:t xml:space="preserve">, </w:t>
      </w:r>
      <w:r>
        <w:rPr>
          <w:i/>
          <w:iCs/>
        </w:rPr>
        <w:t xml:space="preserve">TAF7L</w:t>
      </w:r>
      <w:r>
        <w:t xml:space="preserve">, </w:t>
      </w:r>
      <w:r>
        <w:rPr>
          <w:i/>
          <w:iCs/>
        </w:rPr>
        <w:t xml:space="preserve">SMC1B</w:t>
      </w:r>
      <w:r>
        <w:t xml:space="preserve">, </w:t>
      </w:r>
      <w:r>
        <w:rPr>
          <w:i/>
          <w:iCs/>
        </w:rPr>
        <w:t xml:space="preserve">ZFR2</w:t>
      </w:r>
      <w:r>
        <w:t xml:space="preserve">, </w:t>
      </w:r>
      <w:r>
        <w:rPr>
          <w:i/>
          <w:iCs/>
        </w:rPr>
        <w:t xml:space="preserve">RAD9B</w:t>
      </w:r>
      <w:r>
        <w:t xml:space="preserve">, </w:t>
      </w:r>
      <w:r>
        <w:rPr>
          <w:i/>
          <w:iCs/>
        </w:rPr>
        <w:t xml:space="preserve">TDRD10</w:t>
      </w:r>
      <w:r>
        <w:t xml:space="preserve">, </w:t>
      </w:r>
      <w:r>
        <w:rPr>
          <w:i/>
          <w:iCs/>
        </w:rPr>
        <w:t xml:space="preserve">GBX1</w:t>
      </w:r>
      <w:r>
        <w:t xml:space="preserve"> and </w:t>
      </w:r>
      <w:r>
        <w:rPr>
          <w:i/>
          <w:iCs/>
        </w:rPr>
        <w:t xml:space="preserve">GRIN2C</w:t>
      </w:r>
      <w:r>
        <w:t xml:space="preserve">) were analysed. For each gene, a univariable Cox proportional-hazards model (survival v3.8.6) was fitted to variance-stabilised expression scaled to unit variance, so that hazard ratios (HRs) are expressed per standard deviation. Kaplan–Meier curves were drawn for </w:t>
      </w:r>
      <w:r>
        <w:rPr>
          <w:i/>
          <w:iCs/>
        </w:rPr>
        <w:t xml:space="preserve">ZFR2</w:t>
      </w:r>
      <w:r>
        <w:t xml:space="preserve">, with tumours split at the median. Models were not adjusted for HPV status, stage, smoking or treatment, and P values were not corrected for multiple testing; these analyses were regarded as exploratory.</w:t>
      </w:r>
    </w:p>
    <w:p>
      <w:pPr>
        <w:pStyle w:val="Heading2"/>
        <w:keepNext/>
        <w:spacing w:after="100" w:before="200"/>
      </w:pPr>
      <w:r>
        <w:t xml:space="preserve">2.12. Statistical analysis and software</w:t>
      </w:r>
    </w:p>
    <w:p>
      <w:pPr>
        <w:spacing w:after="140" w:line="288"/>
      </w:pPr>
      <w:r>
        <w:t xml:space="preserve">Unless stated otherwise, tests were two-sided and multiple testing was controlled with the Benjamini–Hochberg procedure. Bulk transcriptomic, enrichment and survival analyses were performed in R 4.6.0 with Bioconductor 3.23 (DESeq2, clusterProfiler, enrichplot, org.Hs.eg.db, TCGAbiolinks and survival). Code, processed data and output tables for all analyses are available at https://github.com/rejoy2004-rgb/TCGA-HNSC-HPV-Transcriptomics; the panel, methylation, external-validation and single-cell analyses are in scripts/meiotic_programme. Panel, methylation, external-validation and single-cell analyses were performed in Python 3.11 (NumPy, pandas, SciPy and statsmodels).</w:t>
      </w:r>
    </w:p>
    <w:p>
      <w:pPr>
        <w:pStyle w:val="Heading1"/>
        <w:spacing w:after="140" w:before="280"/>
      </w:pPr>
      <w:r>
        <w:t xml:space="preserve">3. Results</w:t>
      </w:r>
    </w:p>
    <w:p>
      <w:pPr>
        <w:pStyle w:val="Heading2"/>
        <w:keepNext/>
        <w:spacing w:after="100" w:before="200"/>
      </w:pPr>
      <w:r>
        <w:t xml:space="preserve">3.1. Cohorts and clinical characteristics</w:t>
      </w:r>
    </w:p>
    <w:p>
      <w:pPr>
        <w:spacing w:after="140" w:line="288"/>
      </w:pPr>
      <w:r>
        <w:t xml:space="preserve">The transcriptomic cohort comprised 279 TCGA-HNSC primary tumours, 36 HPV+ and 243 HPV−. HPV+ tumours arose predominantly in the oropharynx (61.1% vs 4.5%; P &lt; 0.001), HPV+ patients were more often male (88.9% vs 70.4%; P = 0.033), and fewer HPV+ patients had died during follow-up (27.8% vs 53.5%; P = 0.007); age, stage and smoking status did not differ significantly (Table 1). Principal component analysis showed partial separation of HPV+ and HPV− tumours on the first two components (22% and 14% of variance; Supplementary Fig. S1), indicating that HPV status contributes to, but does not dominate, global transcriptomic variation.</w:t>
      </w:r>
    </w:p>
    <w:p>
      <w:pPr>
        <w:spacing w:after="140" w:line="288"/>
      </w:pPr>
      <w:r>
        <w:t xml:space="preserve">Five cohorts were included in the panel-based analyses (Table 2). In TCGA-HNSC, the p16/ISH rule (Section 2.2) identified 44 HPV+ and 81 HPV− tumours with usable promoter methylation data and 41 HPV+ and 80 HPV− tumours with usable expression data; these calls agreed with those of the originating project for all 53 overlapping samples. GSE65858 comprised 35 HPV+ tumours with active viral transcription, 25 HPV DNA-positive tumours without detectable viral transcription and 196 HPV− tumours. GSE38266 contributed 21 HPV+ and 21 HPV− oropharyngeal tumours; 44 panel genes had gene-level methylation in both GSE38266 and the discovery cohort, and 16 of the 18 genes hypomethylated in TCGA-HNSC had promoter-proximal probes (227 probes). The single-cell cohorts contributed 23,088 cells from 20 patients (GSE181919) and 16 oropharyngeal tumours, 11 HPV+ and 5 HPV− (GSE182227).</w:t>
      </w:r>
    </w:p>
    <w:p>
      <w:pPr>
        <w:keepNext/>
        <w:spacing w:after="80" w:before="200"/>
      </w:pPr>
      <w:r>
        <w:rPr>
          <w:b/>
          <w:bCs/>
          <w:sz w:val="18"/>
          <w:szCs w:val="18"/>
        </w:rPr>
        <w:t xml:space="preserve">Table 1.</w:t>
      </w:r>
      <w:r>
        <w:rPr>
          <w:sz w:val="18"/>
          <w:szCs w:val="18"/>
        </w:rPr>
        <w:t xml:space="preserve"> Baseline clinical and demographic characteristics of the TCGA-HNSC transcriptomic cohort by HPV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2610"/>
        <w:gridCol w:w="3011"/>
        <w:gridCol w:w="1006"/>
      </w:tblGrid>
      <w:tr>
        <w:trPr>
          <w:tblHeader/>
        </w:trPr>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Variable</w:t>
            </w:r>
          </w:p>
        </w:tc>
        <w:tc>
          <w:tcPr>
            <w:tcW w:type="dxa" w:w="261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36)</w:t>
            </w:r>
          </w:p>
        </w:tc>
        <w:tc>
          <w:tcPr>
            <w:tcW w:type="dxa" w:w="301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(n = 243)</w:t>
            </w:r>
          </w:p>
        </w:tc>
        <w:tc>
          <w:tcPr>
            <w:tcW w:type="dxa" w:w="100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mean ± SD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57.9 ± 10.8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61.8 ± 12.4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Age, years: median (range)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58.5 (35–82)</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62.0 (19–90)</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Sex: female / male</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 (11.1%) / 32 (88.9%)</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72 (29.6%) / 171 (70.4%)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I / II / III / IV</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 (5.6%) / 5 (13.9%) / 4 (11.1%) / 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(4.9%) / 39 (16.0%) / 34 (14.0%) / 132 (54.3%)</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0.845</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Stage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(36.1%)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(10.7%)</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Smoking: never / ever / unknown</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(27.8%) / 26 (72.2%) / 0</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(17.3%) / 194 (79.8%) / 7 (2.9%)</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0.234</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(61.1%)</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(4.5%)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&lt; 0.001</w:t>
            </w: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oral cavity</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(33.3%)</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 (65.8%)</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Site: larynx / hypopharynx</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 (2.8%) / 1 (2.8%)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71 (29.2%) / 1 (0.4%)</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Vital status: alive / dead</w:t>
            </w:r>
          </w:p>
        </w:tc>
        <w:tc>
          <w:tcPr>
            <w:tcW w:type="dxa" w:w="261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26 (72.2%) / 10 (27.8%)</w:t>
            </w:r>
          </w:p>
        </w:tc>
        <w:tc>
          <w:tcPr>
            <w:tcW w:type="dxa" w:w="301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113 (46.5%) / 130 (53.5%)</w:t>
            </w:r>
          </w:p>
        </w:tc>
        <w:tc>
          <w:tcPr>
            <w:tcW w:type="dxa" w:w="100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w:t>
            </w:r>
          </w:p>
        </w:tc>
      </w:tr>
    </w:tbl>
    <w:p>
      <w:pPr>
        <w:keepNext/>
        <w:spacing w:after="80" w:before="200"/>
      </w:pPr>
      <w:r>
        <w:rPr>
          <w:b/>
          <w:bCs/>
          <w:sz w:val="18"/>
          <w:szCs w:val="18"/>
        </w:rPr>
        <w:t xml:space="preserve">Table 2.</w:t>
      </w:r>
      <w:r>
        <w:rPr>
          <w:sz w:val="18"/>
          <w:szCs w:val="18"/>
        </w:rPr>
        <w:t xml:space="preserve"> Cohorts, platforms and analytical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156"/>
        <w:gridCol w:w="963"/>
        <w:gridCol w:w="327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Platform</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w:t>
            </w:r>
          </w:p>
        </w:tc>
        <w:tc>
          <w:tcPr>
            <w:tcW w:type="dxa" w:w="327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transcriptomic cohort</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(STAR counts, GDC)</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Differential expression, enrichment, immune deconvolution, survival</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expression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RNA-seq (RSEM, cBioPortal)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80</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Expression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TCGA-HNSC, panel methylation</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Methylation discovery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GSE65858</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HT-12 v4 microarray</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60 (35 active, 25 silent)</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expression validation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GSE38266</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Illumina HM450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Independent methylation replication (oropharynx only)</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 patients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patients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Malignant-cell localisation</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Single-cell RNA-seq</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tumours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 tumours</w:t>
            </w:r>
          </w:p>
        </w:tc>
        <w:tc>
          <w:tcPr>
            <w:tcW w:type="dxa" w:w="327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Independent single-cell replication (oropharynx)</w:t>
            </w:r>
          </w:p>
        </w:tc>
      </w:tr>
    </w:tbl>
    <w:p>
      <w:pPr>
        <w:pStyle w:val="Heading2"/>
        <w:keepNext/>
        <w:spacing w:after="100" w:before="200"/>
      </w:pPr>
      <w:r>
        <w:t xml:space="preserve">3.2. Transcriptomic divergence between HPV+ and HPV− tumours is headed by meiotic genes</w:t>
      </w:r>
    </w:p>
    <w:p>
      <w:pPr>
        <w:spacing w:after="140" w:line="288"/>
      </w:pPr>
      <w:r>
        <w:t xml:space="preserve">Of 27,662 tested genes, 4,744 were differentially expressed (FDR &lt; 0.05, |log</w:t>
      </w:r>
      <w:r>
        <w:rPr>
          <w:vertAlign w:val="subscript"/>
        </w:rPr>
        <w:t xml:space="preserve">2</w:t>
      </w:r>
      <w:r>
        <w:t xml:space="preserve">FC| &gt; 1): 2,139 were upregulated and 2,605 downregulated in HPV+ tumours (Fig. 2a). Meiotic genes headed the upregulated list. Nine of the twelve most significant upregulated genes belong to the panel, including </w:t>
      </w:r>
      <w:r>
        <w:rPr>
          <w:i/>
          <w:iCs/>
        </w:rPr>
        <w:t xml:space="preserve">STAG3</w:t>
      </w:r>
      <w:r>
        <w:t xml:space="preserve"> (log</w:t>
      </w:r>
      <w:r>
        <w:rPr>
          <w:vertAlign w:val="subscript"/>
        </w:rPr>
        <w:t xml:space="preserve">2</w:t>
      </w:r>
      <w:r>
        <w:t xml:space="preserve">FC = 4.63, FDR = 1.0 × 10</w:t>
      </w:r>
      <w:r>
        <w:rPr>
          <w:vertAlign w:val="superscript"/>
        </w:rPr>
        <w:t xml:space="preserve">−100</w:t>
      </w:r>
      <w:r>
        <w:t xml:space="preserve">), </w:t>
      </w:r>
      <w:r>
        <w:rPr>
          <w:i/>
          <w:iCs/>
        </w:rPr>
        <w:t xml:space="preserve">SMC1B</w:t>
      </w:r>
      <w:r>
        <w:t xml:space="preserve"> (5.91, 6.7 × 10</w:t>
      </w:r>
      <w:r>
        <w:rPr>
          <w:vertAlign w:val="superscript"/>
        </w:rPr>
        <w:t xml:space="preserve">−91</w:t>
      </w:r>
      <w:r>
        <w:t xml:space="preserve">), </w:t>
      </w:r>
      <w:r>
        <w:rPr>
          <w:i/>
          <w:iCs/>
        </w:rPr>
        <w:t xml:space="preserve">ZFR2</w:t>
      </w:r>
      <w:r>
        <w:t xml:space="preserve"> (6.52, 4.5 × 10</w:t>
      </w:r>
      <w:r>
        <w:rPr>
          <w:vertAlign w:val="superscript"/>
        </w:rPr>
        <w:t xml:space="preserve">−86</w:t>
      </w:r>
      <w:r>
        <w:t xml:space="preserve">), </w:t>
      </w:r>
      <w:r>
        <w:rPr>
          <w:i/>
          <w:iCs/>
        </w:rPr>
        <w:t xml:space="preserve">RAD9B</w:t>
      </w:r>
      <w:r>
        <w:t xml:space="preserve"> (2.79, 1.2 × 10</w:t>
      </w:r>
      <w:r>
        <w:rPr>
          <w:vertAlign w:val="superscript"/>
        </w:rPr>
        <w:t xml:space="preserve">−83</w:t>
      </w:r>
      <w:r>
        <w:t xml:space="preserve">), </w:t>
      </w:r>
      <w:r>
        <w:rPr>
          <w:i/>
          <w:iCs/>
        </w:rPr>
        <w:t xml:space="preserve">TDRD10</w:t>
      </w:r>
      <w:r>
        <w:t xml:space="preserve"> (4.48, 2.6 × 10</w:t>
      </w:r>
      <w:r>
        <w:rPr>
          <w:vertAlign w:val="superscript"/>
        </w:rPr>
        <w:t xml:space="preserve">−69</w:t>
      </w:r>
      <w:r>
        <w:t xml:space="preserve">) and </w:t>
      </w:r>
      <w:r>
        <w:rPr>
          <w:i/>
          <w:iCs/>
        </w:rPr>
        <w:t xml:space="preserve">CNTD1</w:t>
      </w:r>
      <w:r>
        <w:t xml:space="preserve"> (3.18, 4.8 × 10</w:t>
      </w:r>
      <w:r>
        <w:rPr>
          <w:vertAlign w:val="superscript"/>
        </w:rPr>
        <w:t xml:space="preserve">−63</w:t>
      </w:r>
      <w:r>
        <w:t xml:space="preserve">). The synaptonemal-complex genes </w:t>
      </w:r>
      <w:r>
        <w:rPr>
          <w:i/>
          <w:iCs/>
        </w:rPr>
        <w:t xml:space="preserve">SYCP2</w:t>
      </w:r>
      <w:r>
        <w:t xml:space="preserve"> (4.64, 4.4 × 10</w:t>
      </w:r>
      <w:r>
        <w:rPr>
          <w:vertAlign w:val="superscript"/>
        </w:rPr>
        <w:t xml:space="preserve">−62</w:t>
      </w:r>
      <w:r>
        <w:t xml:space="preserve">), </w:t>
      </w:r>
      <w:r>
        <w:rPr>
          <w:i/>
          <w:iCs/>
        </w:rPr>
        <w:t xml:space="preserve">MAJIN</w:t>
      </w:r>
      <w:r>
        <w:t xml:space="preserve"> (5.07, 4.7 × 10</w:t>
      </w:r>
      <w:r>
        <w:rPr>
          <w:vertAlign w:val="superscript"/>
        </w:rPr>
        <w:t xml:space="preserve">−55</w:t>
      </w:r>
      <w:r>
        <w:t xml:space="preserve">) and </w:t>
      </w:r>
      <w:r>
        <w:rPr>
          <w:i/>
          <w:iCs/>
        </w:rPr>
        <w:t xml:space="preserve">SYCE2</w:t>
      </w:r>
      <w:r>
        <w:t xml:space="preserve"> (2.92, 9.1 × 10</w:t>
      </w:r>
      <w:r>
        <w:rPr>
          <w:vertAlign w:val="superscript"/>
        </w:rPr>
        <w:t xml:space="preserve">−52</w:t>
      </w:r>
      <w:r>
        <w:t xml:space="preserve">) and the recombination initiator </w:t>
      </w:r>
      <w:r>
        <w:rPr>
          <w:i/>
          <w:iCs/>
        </w:rPr>
        <w:t xml:space="preserve">MEI1</w:t>
      </w:r>
      <w:r>
        <w:t xml:space="preserve"> (3.32, 1.5 × 10</w:t>
      </w:r>
      <w:r>
        <w:rPr>
          <w:vertAlign w:val="superscript"/>
        </w:rPr>
        <w:t xml:space="preserve">−39</w:t>
      </w:r>
      <w:r>
        <w:t xml:space="preserve">) were induced on a similar scale (Fig. 2b; Supplementary Table S2), consistent with earlier reports of </w:t>
      </w:r>
      <w:r>
        <w:rPr>
          <w:i/>
          <w:iCs/>
        </w:rPr>
        <w:t xml:space="preserve">SYCP2</w:t>
      </w:r>
      <w:r>
        <w:t xml:space="preserve">, </w:t>
      </w:r>
      <w:r>
        <w:rPr>
          <w:i/>
          <w:iCs/>
        </w:rPr>
        <w:t xml:space="preserve">STAG3</w:t>
      </w:r>
      <w:r>
        <w:t xml:space="preserve"> and </w:t>
      </w:r>
      <w:r>
        <w:rPr>
          <w:i/>
          <w:iCs/>
        </w:rPr>
        <w:t xml:space="preserve">TAF7L</w:t>
      </w:r>
      <w:r>
        <w:t xml:space="preserve"> upregulation in HPV+ head and neck cancer [27–29]. Other leading upregulated genes included the germ-cell transcription factor gene </w:t>
      </w:r>
      <w:r>
        <w:rPr>
          <w:i/>
          <w:iCs/>
        </w:rPr>
        <w:t xml:space="preserve">TAF7L</w:t>
      </w:r>
      <w:r>
        <w:t xml:space="preserve"> (5.81, 9.9 × 10</w:t>
      </w:r>
      <w:r>
        <w:rPr>
          <w:vertAlign w:val="superscript"/>
        </w:rPr>
        <w:t xml:space="preserve">−100</w:t>
      </w:r>
      <w:r>
        <w:t xml:space="preserve">) and the homeobox gene </w:t>
      </w:r>
      <w:r>
        <w:rPr>
          <w:i/>
          <w:iCs/>
        </w:rPr>
        <w:t xml:space="preserve">GBX1</w:t>
      </w:r>
      <w:r>
        <w:t xml:space="preserve"> (6.95, 3.2 × 10</w:t>
      </w:r>
      <w:r>
        <w:rPr>
          <w:vertAlign w:val="superscript"/>
        </w:rPr>
        <w:t xml:space="preserve">−68</w:t>
      </w:r>
      <w:r>
        <w:t xml:space="preserve">).</w:t>
      </w:r>
    </w:p>
    <w:p>
      <w:pPr>
        <w:spacing w:after="140" w:line="288"/>
      </w:pPr>
      <w:r>
        <w:t xml:space="preserve">Downregulated genes were dominated by epithelial differentiation and keratinisation, including </w:t>
      </w:r>
      <w:r>
        <w:rPr>
          <w:i/>
          <w:iCs/>
        </w:rPr>
        <w:t xml:space="preserve">DSC1</w:t>
      </w:r>
      <w:r>
        <w:t xml:space="preserve"> (log</w:t>
      </w:r>
      <w:r>
        <w:rPr>
          <w:vertAlign w:val="subscript"/>
        </w:rPr>
        <w:t xml:space="preserve">2</w:t>
      </w:r>
      <w:r>
        <w:t xml:space="preserve">FC = −5.20, FDR = 1.1 × 10</w:t>
      </w:r>
      <w:r>
        <w:rPr>
          <w:vertAlign w:val="superscript"/>
        </w:rPr>
        <w:t xml:space="preserve">−32</w:t>
      </w:r>
      <w:r>
        <w:t xml:space="preserve">), </w:t>
      </w:r>
      <w:r>
        <w:rPr>
          <w:i/>
          <w:iCs/>
        </w:rPr>
        <w:t xml:space="preserve">MUCL1</w:t>
      </w:r>
      <w:r>
        <w:t xml:space="preserve"> (−5.44, 2.3 × 10</w:t>
      </w:r>
      <w:r>
        <w:rPr>
          <w:vertAlign w:val="superscript"/>
        </w:rPr>
        <w:t xml:space="preserve">−31</w:t>
      </w:r>
      <w:r>
        <w:t xml:space="preserve">), </w:t>
      </w:r>
      <w:r>
        <w:rPr>
          <w:i/>
          <w:iCs/>
        </w:rPr>
        <w:t xml:space="preserve">SPRR4</w:t>
      </w:r>
      <w:r>
        <w:t xml:space="preserve"> (−4.49, 4.0 × 10</w:t>
      </w:r>
      <w:r>
        <w:rPr>
          <w:vertAlign w:val="superscript"/>
        </w:rPr>
        <w:t xml:space="preserve">−27</w:t>
      </w:r>
      <w:r>
        <w:t xml:space="preserve">), </w:t>
      </w:r>
      <w:r>
        <w:rPr>
          <w:i/>
          <w:iCs/>
        </w:rPr>
        <w:t xml:space="preserve">KRTDAP</w:t>
      </w:r>
      <w:r>
        <w:t xml:space="preserve"> (−4.25, 1.6 × 10</w:t>
      </w:r>
      <w:r>
        <w:rPr>
          <w:vertAlign w:val="superscript"/>
        </w:rPr>
        <w:t xml:space="preserve">−23</w:t>
      </w:r>
      <w:r>
        <w:t xml:space="preserve">), </w:t>
      </w:r>
      <w:r>
        <w:rPr>
          <w:i/>
          <w:iCs/>
        </w:rPr>
        <w:t xml:space="preserve">KRT1</w:t>
      </w:r>
      <w:r>
        <w:t xml:space="preserve"> (−4.90, 4.8 × 10</w:t>
      </w:r>
      <w:r>
        <w:rPr>
          <w:vertAlign w:val="superscript"/>
        </w:rPr>
        <w:t xml:space="preserve">−21</w:t>
      </w:r>
      <w:r>
        <w:t xml:space="preserve">) and </w:t>
      </w:r>
      <w:r>
        <w:rPr>
          <w:i/>
          <w:iCs/>
        </w:rPr>
        <w:t xml:space="preserve">S100A7</w:t>
      </w:r>
      <w:r>
        <w:t xml:space="preserve"> (−1.92, 1.1 × 10</w:t>
      </w:r>
      <w:r>
        <w:rPr>
          <w:vertAlign w:val="superscript"/>
        </w:rPr>
        <w:t xml:space="preserve">−5</w:t>
      </w:r>
      <w:r>
        <w:t xml:space="preserve">), together with multiple small proline-rich, late cornified envelope and keratin genes (Supplementary Tables S2 and S3). This pattern is consistent with the tonsillar-crypt origin and non-keratinising histology of most HPV+ tumours.</w:t>
      </w:r>
    </w:p>
    <w:p>
      <w:pPr>
        <w:spacing w:after="140" w:line="288"/>
      </w:pPr>
      <w:r>
        <w:t xml:space="preserve">Because HPV+ tumours arise predominantly in the oropharynx, the analysis was repeated with primary site as a covariate. The site-adjusted model identified 4,800 differentially expressed genes at the same thresholds, slightly more than the unadjusted model, consistent with removal of between-site variance. Fold changes were highly concordant between the two models (Spearman ρ = 0.94 across all genes), 3,975 of the 4,744 unadjusted differentially expressed genes remained significant after adjustment, and the meiotic, immune (</w:t>
      </w:r>
      <w:r>
        <w:rPr>
          <w:i/>
          <w:iCs/>
        </w:rPr>
        <w:t xml:space="preserve">IGKC</w:t>
      </w:r>
      <w:r>
        <w:t xml:space="preserve">, </w:t>
      </w:r>
      <w:r>
        <w:rPr>
          <w:i/>
          <w:iCs/>
        </w:rPr>
        <w:t xml:space="preserve">IGHA1</w:t>
      </w:r>
      <w:r>
        <w:t xml:space="preserve">, </w:t>
      </w:r>
      <w:r>
        <w:rPr>
          <w:i/>
          <w:iCs/>
        </w:rPr>
        <w:t xml:space="preserve">IGHM</w:t>
      </w:r>
      <w:r>
        <w:t xml:space="preserve">, </w:t>
      </w:r>
      <w:r>
        <w:rPr>
          <w:i/>
          <w:iCs/>
        </w:rPr>
        <w:t xml:space="preserve">MS4A1</w:t>
      </w:r>
      <w:r>
        <w:t xml:space="preserve">, </w:t>
      </w:r>
      <w:r>
        <w:rPr>
          <w:i/>
          <w:iCs/>
        </w:rPr>
        <w:t xml:space="preserve">CD79A</w:t>
      </w:r>
      <w:r>
        <w:t xml:space="preserve">, </w:t>
      </w:r>
      <w:r>
        <w:rPr>
          <w:i/>
          <w:iCs/>
        </w:rPr>
        <w:t xml:space="preserve">CD79B</w:t>
      </w:r>
      <w:r>
        <w:t xml:space="preserve">, </w:t>
      </w:r>
      <w:r>
        <w:rPr>
          <w:i/>
          <w:iCs/>
        </w:rPr>
        <w:t xml:space="preserve">CD8A</w:t>
      </w:r>
      <w:r>
        <w:t xml:space="preserve">, </w:t>
      </w:r>
      <w:r>
        <w:rPr>
          <w:i/>
          <w:iCs/>
        </w:rPr>
        <w:t xml:space="preserve">CD8B</w:t>
      </w:r>
      <w:r>
        <w:t xml:space="preserve">) and keratinisation (</w:t>
      </w:r>
      <w:r>
        <w:rPr>
          <w:i/>
          <w:iCs/>
        </w:rPr>
        <w:t xml:space="preserve">KRT1</w:t>
      </w:r>
      <w:r>
        <w:t xml:space="preserve">, </w:t>
      </w:r>
      <w:r>
        <w:rPr>
          <w:i/>
          <w:iCs/>
        </w:rPr>
        <w:t xml:space="preserve">KRT14</w:t>
      </w:r>
      <w:r>
        <w:t xml:space="preserve">, </w:t>
      </w:r>
      <w:r>
        <w:rPr>
          <w:i/>
          <w:iCs/>
        </w:rPr>
        <w:t xml:space="preserve">KRT16</w:t>
      </w:r>
      <w:r>
        <w:t xml:space="preserve">, </w:t>
      </w:r>
      <w:r>
        <w:rPr>
          <w:i/>
          <w:iCs/>
        </w:rPr>
        <w:t xml:space="preserve">KRT6A</w:t>
      </w:r>
      <w:r>
        <w:t xml:space="preserve">, </w:t>
      </w:r>
      <w:r>
        <w:rPr>
          <w:i/>
          <w:iCs/>
        </w:rPr>
        <w:t xml:space="preserve">KRTDAP</w:t>
      </w:r>
      <w:r>
        <w:t xml:space="preserve">) genes described here all remained significant (Supplementary Table S3). The transcriptional separation is therefore not explained by anatomical site.</w:t>
      </w:r>
    </w:p>
    <w:p>
      <w:pPr>
        <w:keepNext/>
        <w:spacing w:after="80" w:before="120"/>
        <w:jc w:val="center"/>
      </w:pPr>
      <w:r>
        <w:drawing>
          <wp:inline distT="0" distB="0" distL="0" distR="0">
            <wp:extent cx="6096000" cy="7496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496175"/>
                    </a:xfrm>
                    <a:prstGeom prst="rect">
                      <a:avLst/>
                    </a:prstGeom>
                  </pic:spPr>
                </pic:pic>
              </a:graphicData>
            </a:graphic>
          </wp:inline>
        </w:drawing>
      </w:r>
    </w:p>
    <w:p>
      <w:pPr>
        <w:spacing w:after="220" w:line="260"/>
      </w:pPr>
      <w:r>
        <w:rPr>
          <w:b/>
          <w:bCs/>
          <w:sz w:val="18"/>
          <w:szCs w:val="18"/>
        </w:rPr>
        <w:t xml:space="preserve">Figure 2. Differential expression in HPV+ versus HPV− TCGA-HNSC tumours places the meiotic machinery among the most strongly induced programmes.</w:t>
      </w:r>
      <w:r>
        <w:rPr>
          <w:sz w:val="18"/>
          <w:szCs w:val="18"/>
        </w:rPr>
        <w:t xml:space="preserve"> (a) Volcano plot of differential expression between HPV+ and HPV− tumours: 4,744 differentially expressed genes (2,139 upregulated, 2,605 downregulated); nine of the twelve most significant genes are panel genes, and ten selected meiotic genes are highlighted. (b) Log</w:t>
      </w:r>
      <w:r>
        <w:rPr>
          <w:sz w:val="18"/>
          <w:szCs w:val="18"/>
          <w:vertAlign w:val="subscript"/>
        </w:rPr>
        <w:t xml:space="preserve">2</w:t>
      </w:r>
      <w:r>
        <w:rPr>
          <w:sz w:val="18"/>
          <w:szCs w:val="18"/>
        </w:rPr>
        <w:t xml:space="preserve"> fold changes of the ten selected meiotic genes (range 2.8–6.5). (c) The eight most significantly enriched GO biological-process terms among upregulated genes, with meiotic terms in blue: immune terms rank first and second, meiotic nuclear division and meiotic cell cycle process third and fourth, and meiosis I eighth. n = 279 tumours (36 HPV+, 243 HPV−).</w:t>
      </w:r>
    </w:p>
    <w:p>
      <w:pPr>
        <w:pStyle w:val="Heading2"/>
        <w:keepNext/>
        <w:spacing w:after="100" w:before="200"/>
      </w:pPr>
      <w:r>
        <w:t xml:space="preserve">3.3. Pathway analysis identifies meiotic, adaptive-immune and epithelial-differentiation programmes</w:t>
      </w:r>
    </w:p>
    <w:p>
      <w:pPr>
        <w:spacing w:after="140" w:line="288"/>
      </w:pPr>
      <w:r>
        <w:t xml:space="preserve">GO over-representation analysis of upregulated genes identified 69 enriched biological-process terms (FDR &lt; 0.05), 13 of them related to meiosis (terms containing “meio” or “synaptonemal”; full list in HNSC_HPV_GO_Upregulated.csv). Two themes led the ranking. The first was adaptive immunity, including antigen receptor-mediated signalling pathway (43 genes; FDR = 5.3 × 10</w:t>
      </w:r>
      <w:r>
        <w:rPr>
          <w:vertAlign w:val="superscript"/>
        </w:rPr>
        <w:t xml:space="preserve">−10</w:t>
      </w:r>
      <w:r>
        <w:t xml:space="preserve">), lymphocyte-mediated immunity (56 genes; FDR = 1.8 × 10</w:t>
      </w:r>
      <w:r>
        <w:rPr>
          <w:vertAlign w:val="superscript"/>
        </w:rPr>
        <w:t xml:space="preserve">−9</w:t>
      </w:r>
      <w:r>
        <w:t xml:space="preserve">), B cell-mediated immunity (37 genes; FDR = 5.4 × 10</w:t>
      </w:r>
      <w:r>
        <w:rPr>
          <w:vertAlign w:val="superscript"/>
        </w:rPr>
        <w:t xml:space="preserve">−9</w:t>
      </w:r>
      <w:r>
        <w:t xml:space="preserve">) and immunoglobulin-mediated immune response (36 genes; FDR = 8.5 × 10</w:t>
      </w:r>
      <w:r>
        <w:rPr>
          <w:vertAlign w:val="superscript"/>
        </w:rPr>
        <w:t xml:space="preserve">−9</w:t>
      </w:r>
      <w:r>
        <w:t xml:space="preserve">). The second was meiosis, led by meiotic nuclear division (3.8-fold enrichment) and meiotic cell cycle process, which ranked third and fourth overall (Fig. 2c). KEGG analysis of upregulated genes was likewise led by immune pathways, including primary immunodeficiency (16 genes; FDR = 1.9 × 10</w:t>
      </w:r>
      <w:r>
        <w:rPr>
          <w:vertAlign w:val="superscript"/>
        </w:rPr>
        <w:t xml:space="preserve">−9</w:t>
      </w:r>
      <w:r>
        <w:t xml:space="preserve">) and haematopoietic cell lineage (18 genes; FDR = 1.9 × 10</w:t>
      </w:r>
      <w:r>
        <w:rPr>
          <w:vertAlign w:val="superscript"/>
        </w:rPr>
        <w:t xml:space="preserve">−4</w:t>
      </w:r>
      <w:r>
        <w:t xml:space="preserve">). GSEA over the full ranking gave stronger enrichment for the meiotic theme: of 245 positively enriched terms (FDR &lt; 0.05), meiosis-related terms dominated the top of the ranking by normalised enrichment score (NES): meiosis I cell cycle process (NES = 2.91), meiosis I (2.87) and meiotic nuclear division (2.82) were among the five highest-scoring terms, second only to DNA-templated DNA replication (2.92), and the remaining high-ranking terms were DNA replication and recombination processes that share genes with the meiotic programme (Supplementary Fig. S2a).</w:t>
      </w:r>
    </w:p>
    <w:p>
      <w:pPr>
        <w:spacing w:after="140" w:line="288"/>
      </w:pPr>
      <w:r>
        <w:t xml:space="preserve">Downregulated genes mapped to the opposite pole of squamous biology. GO analysis was dominated by skin development (95 genes; FDR = 2.4 × 10</w:t>
      </w:r>
      <w:r>
        <w:rPr>
          <w:vertAlign w:val="superscript"/>
        </w:rPr>
        <w:t xml:space="preserve">−46</w:t>
      </w:r>
      <w:r>
        <w:t xml:space="preserve">), epidermis development (101 genes; FDR = 2.2 × 10</w:t>
      </w:r>
      <w:r>
        <w:rPr>
          <w:vertAlign w:val="superscript"/>
        </w:rPr>
        <w:t xml:space="preserve">−43</w:t>
      </w:r>
      <w:r>
        <w:t xml:space="preserve">), keratinisation (54 genes; FDR = 8.9 × 10</w:t>
      </w:r>
      <w:r>
        <w:rPr>
          <w:vertAlign w:val="superscript"/>
        </w:rPr>
        <w:t xml:space="preserve">−42</w:t>
      </w:r>
      <w:r>
        <w:t xml:space="preserve">) and keratinocyte differentiation (69 genes; FDR = 8.7 × 10</w:t>
      </w:r>
      <w:r>
        <w:rPr>
          <w:vertAlign w:val="superscript"/>
        </w:rPr>
        <w:t xml:space="preserve">−39</w:t>
      </w:r>
      <w:r>
        <w:t xml:space="preserve">), and KEGG analysis by cornified envelope formation (87 genes; FDR = 1.4 × 10</w:t>
      </w:r>
      <w:r>
        <w:rPr>
          <w:vertAlign w:val="superscript"/>
        </w:rPr>
        <w:t xml:space="preserve">−42</w:t>
      </w:r>
      <w:r>
        <w:t xml:space="preserve">), cadherin signalling (70 genes; FDR = 8.2 × 10</w:t>
      </w:r>
      <w:r>
        <w:rPr>
          <w:vertAlign w:val="superscript"/>
        </w:rPr>
        <w:t xml:space="preserve">−11</w:t>
      </w:r>
      <w:r>
        <w:t xml:space="preserve">), ECM–receptor interaction (21 genes; FDR = 3.7 × 10</w:t>
      </w:r>
      <w:r>
        <w:rPr>
          <w:vertAlign w:val="superscript"/>
        </w:rPr>
        <w:t xml:space="preserve">−5</w:t>
      </w:r>
      <w:r>
        <w:t xml:space="preserve">) and focal adhesion (31 genes; FDR = 1.2 × 10</w:t>
      </w:r>
      <w:r>
        <w:rPr>
          <w:vertAlign w:val="superscript"/>
        </w:rPr>
        <w:t xml:space="preserve">−3</w:t>
      </w:r>
      <w:r>
        <w:t xml:space="preserve">) (Supplementary Fig. S3). Keratinisation was also the most negatively enriched GSEA term (NES = −3.17).</w:t>
      </w:r>
    </w:p>
    <w:p>
      <w:pPr>
        <w:spacing w:after="140" w:line="288"/>
      </w:pPr>
      <w:r>
        <w:t xml:space="preserve">The meiotic result, rather than a pre-specified germ-cell hypothesis, motivated construction of the gene panel, so the panel’s overlap with the differential-expression output measures signal magnitude rather than providing independent evidence. Of the 86 panel genes testable after symbol re-annotation, 37 were upregulated at FDR &lt; 0.05, a 2.0-fold enrichment over chance (P = 9.6 × 10</w:t>
      </w:r>
      <w:r>
        <w:rPr>
          <w:vertAlign w:val="superscript"/>
        </w:rPr>
        <w:t xml:space="preserve">−6</w:t>
      </w:r>
      <w:r>
        <w:t xml:space="preserve">), rising to 19.7-fold among the 406 most strongly induced genes (22 panel genes observed vs 1.1 expected; P = 1.4 × 10</w:t>
      </w:r>
      <w:r>
        <w:rPr>
          <w:vertAlign w:val="superscript"/>
        </w:rPr>
        <w:t xml:space="preserve">−22</w:t>
      </w:r>
      <w:r>
        <w:t xml:space="preserve">; Supplementary Fig. S2c). Two features of this overlap cannot be attributed to panel construction. First, 49 of the 86 panel genes were not upregulated, so the panel is not a subset of the result against which it is tested. Second, the class specificity examined in this study was already present genome-wide: the meiotic categories were enriched among upregulated genes (34 of 59 genes), whereas the MAGE/CTAG comparator was not (3 of 27; odds ratio 10.9, Fisher P = 4.6 × 10</w:t>
      </w:r>
      <w:r>
        <w:rPr>
          <w:vertAlign w:val="superscript"/>
        </w:rPr>
        <w:t xml:space="preserve">−5</w:t>
      </w:r>
      <w:r>
        <w:t xml:space="preserve">; Supplementary Fig. S2b; Supplementary Table S4). Because both classes were curated from external sources by the same procedure, this contrast cannot have been introduced by panel construction.</w:t>
      </w:r>
    </w:p>
    <w:p>
      <w:pPr>
        <w:pStyle w:val="Heading2"/>
        <w:keepNext/>
        <w:spacing w:after="100" w:before="200"/>
      </w:pPr>
      <w:r>
        <w:t xml:space="preserve">3.4. A six-gene core module is measurable in every cohort</w:t>
      </w:r>
    </w:p>
    <w:p>
      <w:pPr>
        <w:spacing w:after="140" w:line="288"/>
      </w:pPr>
      <w:r>
        <w:t xml:space="preserve">Applying the cross-platform intersection criterion to the meiotic-machinery categories identified six genes measurable in all five cohorts: </w:t>
      </w:r>
      <w:r>
        <w:rPr>
          <w:i/>
          <w:iCs/>
        </w:rPr>
        <w:t xml:space="preserve">MEI1</w:t>
      </w:r>
      <w:r>
        <w:t xml:space="preserve">, </w:t>
      </w:r>
      <w:r>
        <w:rPr>
          <w:i/>
          <w:iCs/>
        </w:rPr>
        <w:t xml:space="preserve">SMC1B</w:t>
      </w:r>
      <w:r>
        <w:t xml:space="preserve">, </w:t>
      </w:r>
      <w:r>
        <w:rPr>
          <w:i/>
          <w:iCs/>
        </w:rPr>
        <w:t xml:space="preserve">STAG3</w:t>
      </w:r>
      <w:r>
        <w:t xml:space="preserve">, </w:t>
      </w:r>
      <w:r>
        <w:rPr>
          <w:i/>
          <w:iCs/>
        </w:rPr>
        <w:t xml:space="preserve">SYCP2</w:t>
      </w:r>
      <w:r>
        <w:t xml:space="preserve">, </w:t>
      </w:r>
      <w:r>
        <w:rPr>
          <w:i/>
          <w:iCs/>
        </w:rPr>
        <w:t xml:space="preserve">SYCE2</w:t>
      </w:r>
      <w:r>
        <w:t xml:space="preserve"> and </w:t>
      </w:r>
      <w:r>
        <w:rPr>
          <w:i/>
          <w:iCs/>
        </w:rPr>
        <w:t xml:space="preserve">MAJIN</w:t>
      </w:r>
      <w:r>
        <w:t xml:space="preserve"> (Supplementary Table S1). These genes span three functional components of the meiotic apparatus, the synaptonemal complex and its attachment machinery (</w:t>
      </w:r>
      <w:r>
        <w:rPr>
          <w:i/>
          <w:iCs/>
        </w:rPr>
        <w:t xml:space="preserve">SYCP2</w:t>
      </w:r>
      <w:r>
        <w:t xml:space="preserve">, </w:t>
      </w:r>
      <w:r>
        <w:rPr>
          <w:i/>
          <w:iCs/>
        </w:rPr>
        <w:t xml:space="preserve">SYCE2</w:t>
      </w:r>
      <w:r>
        <w:t xml:space="preserve">, </w:t>
      </w:r>
      <w:r>
        <w:rPr>
          <w:i/>
          <w:iCs/>
        </w:rPr>
        <w:t xml:space="preserve">MAJIN</w:t>
      </w:r>
      <w:r>
        <w:t xml:space="preserve">), meiosis-specific cohesin (</w:t>
      </w:r>
      <w:r>
        <w:rPr>
          <w:i/>
          <w:iCs/>
        </w:rPr>
        <w:t xml:space="preserve">SMC1B</w:t>
      </w:r>
      <w:r>
        <w:t xml:space="preserve">, </w:t>
      </w:r>
      <w:r>
        <w:rPr>
          <w:i/>
          <w:iCs/>
        </w:rPr>
        <w:t xml:space="preserve">STAG3</w:t>
      </w:r>
      <w:r>
        <w:t xml:space="preserve">) and recombination initiation (</w:t>
      </w:r>
      <w:r>
        <w:rPr>
          <w:i/>
          <w:iCs/>
        </w:rPr>
        <w:t xml:space="preserve">MEI1</w:t>
      </w:r>
      <w:r>
        <w:t xml:space="preserve">), so the module is not a proxy for a single protein complex. Selection was based only on measurability. Re-mapping incomplete gene-symbol annotations increased the number of testable panel genes from 82 to 86, and the four recovered genes entered the candidate pool under the same criteria. </w:t>
      </w:r>
      <w:r>
        <w:rPr>
          <w:i/>
          <w:iCs/>
        </w:rPr>
        <w:t xml:space="preserve">MAJIN</w:t>
      </w:r>
      <w:r>
        <w:t xml:space="preserve"> was recovered in both single-cell matrices only when its previous symbol, </w:t>
      </w:r>
      <w:r>
        <w:rPr>
          <w:i/>
          <w:iCs/>
        </w:rPr>
        <w:t xml:space="preserve">C11orf85</w:t>
      </w:r>
      <w:r>
        <w:t xml:space="preserve">, was also queried.</w:t>
      </w:r>
    </w:p>
    <w:p>
      <w:pPr>
        <w:pStyle w:val="Heading2"/>
        <w:keepNext/>
        <w:spacing w:after="100" w:before="200"/>
      </w:pPr>
      <w:r>
        <w:t xml:space="preserve">3.5. Meiotic promoters are hypomethylated in HPV+ tumours, and methylation is coupled to expression</w:t>
      </w:r>
    </w:p>
    <w:p>
      <w:pPr>
        <w:spacing w:after="140" w:line="288"/>
      </w:pPr>
      <w:r>
        <w:t xml:space="preserve">Of 49 panel genes with testable gene-level methylation (cBioPortal) in TCGA-HNSC, 18 (37%) were significantly hypomethylated in HPV+ tumours (FDR &lt; 0.05; Fig. 3a). The largest effect, at </w:t>
      </w:r>
      <w:r>
        <w:rPr>
          <w:i/>
          <w:iCs/>
        </w:rPr>
        <w:t xml:space="preserve">MEI1</w:t>
      </w:r>
      <w:r>
        <w:t xml:space="preserve">, was a 0.45 decrease in median β. Seventeen of the 18 hypomethylated genes showed a negative methylation–expression correlation (median ρ = −0.55; Fig. 3b), the direction expected if methylation loss permits expression. At the module level, the composite methylation score of the 18 hypomethylated genes and the core meiotic expression score were inversely correlated across samples (ρ = −0.755, P = 1.5 × 10</w:t>
      </w:r>
      <w:r>
        <w:rPr>
          <w:vertAlign w:val="superscript"/>
        </w:rPr>
        <w:t xml:space="preserve">−23</w:t>
      </w:r>
      <w:r>
        <w:t xml:space="preserve">), so the coupling holds per sample and not only between group means. This extends to the whole module the previously reported correlation between hypomethylation of a CpG-island-shore region at </w:t>
      </w:r>
      <w:r>
        <w:rPr>
          <w:i/>
          <w:iCs/>
        </w:rPr>
        <w:t xml:space="preserve">SYCP2</w:t>
      </w:r>
      <w:r>
        <w:t xml:space="preserve"> and </w:t>
      </w:r>
      <w:r>
        <w:rPr>
          <w:i/>
          <w:iCs/>
        </w:rPr>
        <w:t xml:space="preserve">SYCP2</w:t>
      </w:r>
      <w:r>
        <w:t xml:space="preserve"> expression in TCGA HNSCC [8].</w:t>
      </w:r>
    </w:p>
    <w:p>
      <w:pPr>
        <w:spacing w:after="140" w:line="288"/>
      </w:pPr>
      <w:r>
        <w:t xml:space="preserve">The methylation findings were replicated in GSE38266, an entirely oropharyngeal cohort with 21 HPV+ and 21 HPV− tumours, which removes anatomical site as a confounder. Gene-level methylation differences agreed between the two cohorts (ρ = 0.688, P = 2.5 × 10</w:t>
      </w:r>
      <w:r>
        <w:rPr>
          <w:vertAlign w:val="superscript"/>
        </w:rPr>
        <w:t xml:space="preserve">−7</w:t>
      </w:r>
      <w:r>
        <w:t xml:space="preserve"> over 44 shared genes; Fig. 3c), with 29 of 44 genes sharing the same sign (binomial P = 0.05). At set level, mean methylation across the 227 promoter-proximal probes in 16 hypomethylated genes was lower in HPV+ than in HPV− tumours (P = 6.8 × 10</w:t>
      </w:r>
      <w:r>
        <w:rPr>
          <w:vertAlign w:val="superscript"/>
        </w:rPr>
        <w:t xml:space="preserve">−4</w:t>
      </w:r>
      <w:r>
        <w:t xml:space="preserve">). Only one locus survived per-gene Bonferroni correction in this 42-sample cohort, so replication rests on effect-size concordance and the set-level test rather than on individual loci.</w:t>
      </w:r>
    </w:p>
    <w:p>
      <w:pPr>
        <w:spacing w:after="140" w:line="288"/>
        <w:sectPr>
          <w:footerReference w:type="default" r:id="rId6"/>
          <w:pgSz w:w="11906" w:h="16838" w:orient="portrait"/>
          <w:pgMar w:top="1134" w:right="1134" w:bottom="1134" w:left="1134" w:header="708" w:footer="708" w:gutter="0"/>
          <w:pgNumType/>
          <w:docGrid w:linePitch="360"/>
        </w:sectPr>
      </w:pPr>
      <w:r>
        <w:t xml:space="preserve">Applying one promoter definition to both cohorts (Section 2.6; Supplementary Table S5) gave the same picture for the core module. In TCGA-HNSC (44 HPV+ vs 81 HPV− tumours), promoter methylation was lower in HPV+ tumours at five of the six core genes (FDR &lt; 0.05; Δβ from −0.049 at </w:t>
      </w:r>
      <w:r>
        <w:rPr>
          <w:i/>
          <w:iCs/>
        </w:rPr>
        <w:t xml:space="preserve">STAG3</w:t>
      </w:r>
      <w:r>
        <w:t xml:space="preserve"> to −0.207 at </w:t>
      </w:r>
      <w:r>
        <w:rPr>
          <w:i/>
          <w:iCs/>
        </w:rPr>
        <w:t xml:space="preserve">SYCP2</w:t>
      </w:r>
      <w:r>
        <w:t xml:space="preserve">), and the same five genes were hypomethylated in GSE38266 (Δβ from −0.048 to −0.135; FDR &lt; 0.05 for </w:t>
      </w:r>
      <w:r>
        <w:rPr>
          <w:i/>
          <w:iCs/>
        </w:rPr>
        <w:t xml:space="preserve">MEI1</w:t>
      </w:r>
      <w:r>
        <w:t xml:space="preserve">, </w:t>
      </w:r>
      <w:r>
        <w:rPr>
          <w:i/>
          <w:iCs/>
        </w:rPr>
        <w:t xml:space="preserve">STAG3</w:t>
      </w:r>
      <w:r>
        <w:t xml:space="preserve">, </w:t>
      </w:r>
      <w:r>
        <w:rPr>
          <w:i/>
          <w:iCs/>
        </w:rPr>
        <w:t xml:space="preserve">SYCP2</w:t>
      </w:r>
      <w:r>
        <w:t xml:space="preserve"> and </w:t>
      </w:r>
      <w:r>
        <w:rPr>
          <w:i/>
          <w:iCs/>
        </w:rPr>
        <w:t xml:space="preserve">MAJIN</w:t>
      </w:r>
      <w:r>
        <w:t xml:space="preserve">), whereas </w:t>
      </w:r>
      <w:r>
        <w:rPr>
          <w:i/>
          <w:iCs/>
        </w:rPr>
        <w:t xml:space="preserve">SYCE2</w:t>
      </w:r>
      <w:r>
        <w:t xml:space="preserve"> differed in neither cohort. At set level, mean β across the 80 core-module promoter probes in GSE38266 was 0.257 in HPV+ and 0.334 in HPV− tumours (P = 1.1 × 10</w:t>
      </w:r>
      <w:r>
        <w:rPr>
          <w:vertAlign w:val="superscript"/>
        </w:rPr>
        <w:t xml:space="preserve">−6</w:t>
      </w:r>
      <w:r>
        <w:t xml:space="preserve">). With promoter probes, per-sample core-module promoter methylation (β) was inversely correlated with core-module expression in TCGA (ρ = −0.641, n = 121, P = 2.2 × 10</w:t>
      </w:r>
      <w:r>
        <w:rPr>
          <w:vertAlign w:val="superscript"/>
        </w:rPr>
        <w:t xml:space="preserve">−15</w:t>
      </w:r>
      <w:r>
        <w:t xml:space="preserve">; four-gene module ρ = −0.632). Absolute differences in these GDC-harmonised data are smaller than in the gene-level summary used for the panel-wide analysis (for example, Δβ = −0.126 at </w:t>
      </w:r>
      <w:r>
        <w:rPr>
          <w:i/>
          <w:iCs/>
        </w:rPr>
        <w:t xml:space="preserve">MEI1</w:t>
      </w:r>
      <w:r>
        <w:t xml:space="preserve">), reflecting differences in β-value processing and in probe selection (cBioPortal reports, per gene, the probe most anti-correlated with expression). Adjustment for B-cell and plasma-cell content left the HPV effect on the core-module promoter composite essentially unchanged (Δβ = −0.100 unadjusted and −0.098 adjusted for the marker score, n = 121; −0.118 and −0.129 adjusted for CIBERSORTx fractions, n = 53), as it did for the four-gene composite (−0.102 and −0.103). At </w:t>
      </w:r>
      <w:r>
        <w:rPr>
          <w:i/>
          <w:iCs/>
        </w:rPr>
        <w:t xml:space="preserve">MEI1</w:t>
      </w:r>
      <w:r>
        <w:t xml:space="preserve">, the marker score was independently associated with promoter methylation (P = 0.008) and adjustment attenuated the HPV effect by 16% (Δβ = −0.137 to −0.115), but the effect remained significant (P = 2.9 × 10</w:t>
      </w:r>
      <w:r>
        <w:rPr>
          <w:vertAlign w:val="superscript"/>
        </w:rPr>
        <w:t xml:space="preserve">−7</w:t>
      </w:r>
      <w:r>
        <w:t xml:space="preserve">).</w:t>
      </w:r>
    </w:p>
    <w:p>
      <w:pPr>
        <w:keepNext/>
        <w:spacing w:after="80" w:before="120"/>
        <w:jc w:val="center"/>
      </w:pPr>
      <w:r>
        <w:drawing>
          <wp:inline distT="0" distB="0" distL="0" distR="0">
            <wp:extent cx="9144000" cy="2571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571750"/>
                    </a:xfrm>
                    <a:prstGeom prst="rect">
                      <a:avLst/>
                    </a:prstGeom>
                  </pic:spPr>
                </pic:pic>
              </a:graphicData>
            </a:graphic>
          </wp:inline>
        </w:drawing>
      </w:r>
    </w:p>
    <w:p>
      <w:pPr>
        <w:spacing w:after="220" w:line="260"/>
        <w:sectPr>
          <w:footerReference w:type="default" r:id="rId7"/>
          <w:pgSz w:w="16838" w:h="11906" w:orient="landscape"/>
          <w:pgMar w:top="1134" w:right="1134" w:bottom="1134" w:left="1134" w:header="708" w:footer="708" w:gutter="0"/>
          <w:pgNumType/>
          <w:docGrid w:linePitch="360"/>
        </w:sectPr>
      </w:pPr>
      <w:r>
        <w:rPr>
          <w:b/>
          <w:bCs/>
          <w:sz w:val="18"/>
          <w:szCs w:val="18"/>
        </w:rPr>
        <w:t xml:space="preserve">Figure 3. Promoter hypomethylation at meiotic loci in HPV+ HNSCC and its coupling to expression.</w:t>
      </w:r>
      <w:r>
        <w:rPr>
          <w:sz w:val="18"/>
          <w:szCs w:val="18"/>
        </w:rPr>
        <w:t xml:space="preserve"> (a) Panel genes with differential promoter methylation in TCGA-HNSC (44 HPV+ vs 81 HPV−), ranked by effect size; blue indicates FDR &lt; 0.05. (b) Promoter methylation difference versus methylation–expression Spearman correlation; 17 of 18 FDR-significant genes lie in the lower-left quadrant (hypomethylated and inversely coupled to expression). (c) Replication of per-gene methylation differences in GSE38266 (21 HPV+ vs 21 HPV−, all oropharyngeal); the dashed line marks identity.</w:t>
      </w:r>
    </w:p>
    <w:p>
      <w:pPr>
        <w:pStyle w:val="Heading2"/>
        <w:keepNext/>
        <w:spacing w:after="100" w:before="200"/>
      </w:pPr>
      <w:r>
        <w:t xml:space="preserve">3.6. The programme tracks viral transcriptional activity rather than viral DNA</w:t>
      </w:r>
    </w:p>
    <w:p>
      <w:pPr>
        <w:spacing w:after="140" w:line="288"/>
      </w:pPr>
      <w:r>
        <w:t xml:space="preserve">GSE65858 records HPV DNA status and HPV transcriptional activity separately. The six-gene core meiotic score separated tumours with active viral transcription from HPV− tumours (AUC = 0.959, 95% CI 0.90–1.00; P = 5.2 × 10</w:t>
      </w:r>
      <w:r>
        <w:rPr>
          <w:vertAlign w:val="superscript"/>
        </w:rPr>
        <w:t xml:space="preserve">−18</w:t>
      </w:r>
      <w:r>
        <w:t xml:space="preserve">), whereas tumours carrying HPV DNA without transcriptional activity did not differ detectably from HPV− tumours (AUC = 0.464, 95% CI 0.30–0.62; P = 0.56; Fig. 4a). With 25 silent tumours, this absence of a difference does not establish equivalence, and low-level viral transcription below the detection threshold in some of these tumours cannot be excluded. Grouping by viral DNA alone, the conventional definition, reduced discrimination to AUC = 0.753 (95% CI 0.66–0.85) because the silent tumours dilute the positive group. The programme therefore tracks viral gene expression rather than viral presence, consistent with a position downstream of E6/E7 activity rather than of viral DNA presence.</w:t>
      </w:r>
    </w:p>
    <w:p>
      <w:pPr>
        <w:pStyle w:val="Heading2"/>
        <w:keepNext/>
        <w:spacing w:after="100" w:before="200"/>
      </w:pPr>
      <w:r>
        <w:t xml:space="preserve">3.7. Specificity is confined to the meiotic machinery</w:t>
      </w:r>
    </w:p>
    <w:p>
      <w:pPr>
        <w:spacing w:after="140" w:line="288"/>
      </w:pPr>
      <w:r>
        <w:t xml:space="preserve">Germ-cell gene classes behaved differently, which argues against global hypomethylation as the sole explanation. The synaptonemal complex (AUC = 0.930), meiotic cohesin (0.907) and recombination/DSB machinery (0.829) all discriminated strongly, whereas the classic MAGE/CTAG antigens, the largest category in the panel (33 genes, 29 measurable on this platform), performed at chance (AUC = 0.411, 95% CI 0.31–0.51; P = 0.09; Fig. 4c; Table 3). The point estimate lies slightly below 0.5, so there was no residual trend in the expected direction. The same ordering held for individual genes, the top discriminators being meiotic structural or recombination components: </w:t>
      </w:r>
      <w:r>
        <w:rPr>
          <w:i/>
          <w:iCs/>
        </w:rPr>
        <w:t xml:space="preserve">MAJIN</w:t>
      </w:r>
      <w:r>
        <w:t xml:space="preserve"> (0.938), </w:t>
      </w:r>
      <w:r>
        <w:rPr>
          <w:i/>
          <w:iCs/>
        </w:rPr>
        <w:t xml:space="preserve">SMC1B</w:t>
      </w:r>
      <w:r>
        <w:t xml:space="preserve"> (0.937), </w:t>
      </w:r>
      <w:r>
        <w:rPr>
          <w:i/>
          <w:iCs/>
        </w:rPr>
        <w:t xml:space="preserve">SYCP2</w:t>
      </w:r>
      <w:r>
        <w:t xml:space="preserve"> (0.929) and </w:t>
      </w:r>
      <w:r>
        <w:rPr>
          <w:i/>
          <w:iCs/>
        </w:rPr>
        <w:t xml:space="preserve">STAG3</w:t>
      </w:r>
      <w:r>
        <w:t xml:space="preserve"> (0.929) (Fig. 4b).</w:t>
      </w:r>
    </w:p>
    <w:p>
      <w:pPr>
        <w:keepNext/>
        <w:spacing w:after="80" w:before="200"/>
      </w:pPr>
      <w:r>
        <w:rPr>
          <w:b/>
          <w:bCs/>
          <w:sz w:val="18"/>
          <w:szCs w:val="18"/>
        </w:rPr>
        <w:t xml:space="preserve">Table 3.</w:t>
      </w:r>
      <w:r>
        <w:rPr>
          <w:sz w:val="18"/>
          <w:szCs w:val="18"/>
        </w:rPr>
        <w:t xml:space="preserve"> Discrimination of virus-active HPV+ (n = 35) from HPV− (n = 196) tumours in GSE65858 by gene category. Category assignments were fixed before analysis. Genes, number of panel members measurable on the array; AUC, from the mean Z-scored expression of each category, with Hanley–McNeil 95% CI; P, Mann–Whitney U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156"/>
        <w:gridCol w:w="2313"/>
        <w:gridCol w:w="2314"/>
      </w:tblGrid>
      <w:tr>
        <w:trPr>
          <w:tblHeader/>
        </w:trPr>
        <w:tc>
          <w:tcPr>
            <w:tcW w:type="dxa" w:w="385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category</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 (95% CI)</w:t>
            </w:r>
          </w:p>
        </w:tc>
        <w:tc>
          <w:tcPr>
            <w:tcW w:type="dxa" w:w="231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0.930 (0.87–0.99)</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 × 10</w:t>
            </w:r>
            <w:r>
              <w:rPr>
                <w:b w:val="false"/>
                <w:bCs w:val="false"/>
                <w:sz w:val="17"/>
                <w:szCs w:val="17"/>
                <w:vertAlign w:val="superscript"/>
              </w:rPr>
              <w:t xml:space="preserve">−16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0.907 (0.84–0.97)</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−14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0.829 (0.74–0.92)</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0.827 (0.74–0.91)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7.3 × 10</w:t>
            </w:r>
            <w:r>
              <w:rPr>
                <w:b w:val="false"/>
                <w:bCs w:val="false"/>
                <w:sz w:val="17"/>
                <w:szCs w:val="17"/>
                <w:vertAlign w:val="superscript"/>
              </w:rPr>
              <w:t xml:space="preserve">−10</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0.740 (0.64–0.84)</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6.1 × 10</w:t>
            </w:r>
            <w:r>
              <w:rPr>
                <w:b w:val="false"/>
                <w:bCs w:val="false"/>
                <w:sz w:val="17"/>
                <w:szCs w:val="17"/>
                <w:vertAlign w:val="superscript"/>
              </w:rPr>
              <w:t xml:space="preserve">−6</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0.697 (0.59–0.80)</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 × 10</w:t>
            </w:r>
            <w:r>
              <w:rPr>
                <w:b w:val="false"/>
                <w:bCs w:val="false"/>
                <w:sz w:val="17"/>
                <w:szCs w:val="17"/>
                <w:vertAlign w:val="superscript"/>
              </w:rPr>
              <w:t xml:space="preserve">−4</w:t>
            </w:r>
          </w:p>
        </w:tc>
      </w:tr>
      <w:tr>
        <w:trPr>
          <w:cantSplit/>
        </w:trPr>
        <w:tc>
          <w:tcPr>
            <w:tcW w:type="dxa" w:w="385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0.411 (0.31–0.51)</w:t>
            </w:r>
          </w:p>
        </w:tc>
        <w:tc>
          <w:tcPr>
            <w:tcW w:type="dxa" w:w="231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r>
    </w:tbl>
    <w:p>
      <w:pPr>
        <w:sectPr>
          <w:footerReference w:type="default" r:id="rId8"/>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9144000" cy="26670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667000"/>
                    </a:xfrm>
                    <a:prstGeom prst="rect">
                      <a:avLst/>
                    </a:prstGeom>
                  </pic:spPr>
                </pic:pic>
              </a:graphicData>
            </a:graphic>
          </wp:inline>
        </w:drawing>
      </w:r>
    </w:p>
    <w:p>
      <w:pPr>
        <w:spacing w:after="220" w:line="260"/>
        <w:sectPr>
          <w:footerReference w:type="default" r:id="rId9"/>
          <w:pgSz w:w="16838" w:h="11906" w:orient="landscape"/>
          <w:pgMar w:top="1134" w:right="1134" w:bottom="1134" w:left="1134" w:header="708" w:footer="708" w:gutter="0"/>
          <w:pgNumType/>
          <w:docGrid w:linePitch="360"/>
        </w:sectPr>
      </w:pPr>
      <w:r>
        <w:rPr>
          <w:b/>
          <w:bCs/>
          <w:sz w:val="18"/>
          <w:szCs w:val="18"/>
        </w:rPr>
        <w:t xml:space="preserve">Figure 4. The meiotic programme is associated with transcriptionally active HPV and is specific to the meiotic machinery (GSE65858).</w:t>
      </w:r>
      <w:r>
        <w:rPr>
          <w:sz w:val="18"/>
          <w:szCs w:val="18"/>
        </w:rPr>
        <w:t xml:space="preserve"> (a) Six-gene core meiotic score across the three groups: virus-active HPV+ tumours (n = 35) are elevated, whereas virus-silent HPV DNA+ tumours (n = 25) are indistinguishable from HPV− tumours (n = 196). (b) Per-gene AUC for virus-active HPV+ versus HPV− tumours; grey marks classic cancer–testis antigens. (c) Per-category AUC; the MAGE/CTAG family is at chance, whereas every meiotic category is elevated. Panels b and c are anchored at AUC = 0.5 (dashed line).</w:t>
      </w:r>
    </w:p>
    <w:p>
      <w:pPr>
        <w:pStyle w:val="Heading2"/>
        <w:keepNext/>
        <w:spacing w:after="100" w:before="200"/>
      </w:pPr>
      <w:r>
        <w:t xml:space="preserve">3.8. The core meiotic genes are co-expressed as a module</w:t>
      </w:r>
    </w:p>
    <w:p>
      <w:pPr>
        <w:spacing w:after="140" w:line="288"/>
      </w:pPr>
      <w:r>
        <w:t xml:space="preserve">Coordinated expression of the core genes provides further evidence against independent, stochastic promoter de-repression. The mean pairwise correlation among the six core genes was higher in virus-active HPV+ tumours than in HPV− tumours (0.556 vs 0.149; Table 4; Supplementary Fig. S4). In 1,000 random size-matched subsets of HPV− tumours the 95% interval was 0.027–0.273, which the observed value exceeded (P = 0.001), so the higher coherence is unlikely to reflect group size. Coherence was specific to the core module: in the same tumours, the wider meiotic panel reached only 0.083 and the classic CTAs 0.081. Coherence was almost as high in the transcriptionally silent HPV+ group (0.541), although its mean expression was not elevated. Against its own size-matched null (1,000 random subsets of 25 HPV− tumours; 95% interval −0.003 to 0.299), this coherence was also higher than expected by chance (P = 0.001), suggesting that the internal coordination of the module and its overall activation are separable. The four-gene meiosis-specific score, which excludes the lymphocyte-expressed </w:t>
      </w:r>
      <w:r>
        <w:rPr>
          <w:i/>
          <w:iCs/>
        </w:rPr>
        <w:t xml:space="preserve">MEI1</w:t>
      </w:r>
      <w:r>
        <w:t xml:space="preserve"> and </w:t>
      </w:r>
      <w:r>
        <w:rPr>
          <w:i/>
          <w:iCs/>
        </w:rPr>
        <w:t xml:space="preserve">STAG3</w:t>
      </w:r>
      <w:r>
        <w:t xml:space="preserve"> (Section 3.11), behaved in the same way: it separated virus-active HPV+ from HPV− tumours (AUC = 0.957, 95% CI 0.90–1.00), and its coherence was 0.546 in virus-active and 0.521 in silent HPV+ tumours but 0.179 in HPV− tumours, both HPV+ values exceeding their size-matched nulls (P = 0.001 and 0.002).</w:t>
      </w:r>
    </w:p>
    <w:p>
      <w:pPr>
        <w:keepNext/>
        <w:spacing w:after="80" w:before="200"/>
      </w:pPr>
      <w:r>
        <w:rPr>
          <w:b/>
          <w:bCs/>
          <w:sz w:val="18"/>
          <w:szCs w:val="18"/>
        </w:rPr>
        <w:t xml:space="preserve">Table 4.</w:t>
      </w:r>
      <w:r>
        <w:rPr>
          <w:sz w:val="18"/>
          <w:szCs w:val="18"/>
        </w:rPr>
        <w:t xml:space="preserve"> Module coherence (mean off-diagonal Spearman ρ among member genes) by group and gene set in GSE65858.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734"/>
        <w:gridCol w:w="1542"/>
        <w:gridCol w:w="1929"/>
      </w:tblGrid>
      <w:tr>
        <w:trPr>
          <w:tblHeader/>
        </w:trPr>
        <w:tc>
          <w:tcPr>
            <w:tcW w:type="dxa" w:w="212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 set</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Samples</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Genes</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Mean ρ</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0.556</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0.083</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active</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0.541</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0.092</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 silent</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Core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0.149</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All meiotic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0.027</w:t>
            </w:r>
          </w:p>
        </w:tc>
      </w:tr>
      <w:tr>
        <w:trPr>
          <w:cantSplit/>
        </w:trPr>
        <w:tc>
          <w:tcPr>
            <w:tcW w:type="dxa" w:w="212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Classic CTA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0.104</w:t>
            </w:r>
          </w:p>
        </w:tc>
      </w:tr>
    </w:tbl>
    <w:p>
      <w:pPr>
        <w:pStyle w:val="Heading2"/>
        <w:keepNext/>
        <w:spacing w:after="100" w:before="200"/>
      </w:pPr>
      <w:r>
        <w:t xml:space="preserve">3.9. Site, proliferation and tumour purity do not account for the meiotic signal</w:t>
      </w:r>
    </w:p>
    <w:p>
      <w:pPr>
        <w:spacing w:after="140" w:line="288"/>
      </w:pPr>
      <w:r>
        <w:t xml:space="preserve">Three further alternative explanations were tested directly (Supplementary Table S5). In GSE65858, restricting the comparison of virus-active HPV+ and HPV− tumours to the oropharynx (28 vs 47 tumours) left discrimination by the core meiotic score essentially unchanged (AUC = 0.960, 95% CI 0.90–1.00; P = 3.3 × 10</w:t>
      </w:r>
      <w:r>
        <w:rPr>
          <w:vertAlign w:val="superscript"/>
        </w:rPr>
        <w:t xml:space="preserve">−11</w:t>
      </w:r>
      <w:r>
        <w:t xml:space="preserve">), so the effect is not attributable to the anatomical distribution of HPV+ disease. In logistic regression with virus-active HPV status as the outcome and the core meiotic score as the predictor (GSE65858; 35 virus-active HPV+ and 196 HPV− tumours; n = 231), adding the proliferation score did not attenuate the meiotic-score coefficient (β = 4.45 alone vs 4.52 adjusted; model AUC 0.959 vs 0.961). Tumour purity was examined in TCGA-HNSC using ABSOLUTE purity estimates [42], available for 277 of the 279 tumours. HPV+ tumours were purer than HPV− tumours (mean purity 0.63 vs 0.48; Mann–Whitney P = 8.0 × 10</w:t>
      </w:r>
      <w:r>
        <w:rPr>
          <w:vertAlign w:val="superscript"/>
        </w:rPr>
        <w:t xml:space="preserve">−6</w:t>
      </w:r>
      <w:r>
        <w:t xml:space="preserve">), making purity a potential confounder; however, purity was not correlated with the core meiotic score (Spearman ρ = 0.027, P = 0.66). In a linear model with the core meiotic score as the outcome and HPV status as the predictor, adding purity left the HPV coefficient unchanged (β = 2.29 unadjusted and 2.29 adjusted; purity coefficient −0.022, P = 0.89), and adding purity and proliferation together gave an HPV coefficient of 2.25 (95% CI 2.08–2.41; P = 1.2 × 10</w:t>
      </w:r>
      <w:r>
        <w:rPr>
          <w:vertAlign w:val="superscript"/>
        </w:rPr>
        <w:t xml:space="preserve">−77</w:t>
      </w:r>
      <w:r>
        <w:t xml:space="preserve">). Higher purity in HPV+ tumours may appear at odds with their lymphocyte-rich composition (Section 3.10); ABSOLUTE purity captures all non-malignant content, including stroma, so lower stromal content in oropharyngeal HPV+ tumours could outweigh their greater immune infiltration, and purity was therefore treated as a covariate rather than as a measure of immune infiltration. A p16-adjusted model was not fitted because p16 immunohistochemistry is one of the two assays defining the HPV grouping; instead, the TCGA analyses were repeated with stricter HPV definitions. Under the main p16-or-ISH rule, the core meiotic expression score separated HPV+ from HPV− tumours with AUC = 0.933 (95% CI 0.87–1.00; 41 vs 80). Requiring ISH positivity (21 vs 65) gave complete separation (AUC = 1.000) and a larger core-module promoter hypomethylation effect (22 vs 67; Δβ = −0.116 vs −0.092 under the main rule; AUC = 0.964, 95% CI 0.93–1.00), and restricting the p16-or-ISH rule to oropharyngeal tumours (34 vs 8) gave AUC = 0.974 (95% CI 0.92–1.00). The GSE65858 analysis (Section 3.6), in which HPV DNA and transcriptional activity are recorded independently of p16, provides a further independent test.</w:t>
      </w:r>
    </w:p>
    <w:p>
      <w:pPr>
        <w:pStyle w:val="Heading2"/>
        <w:keepNext/>
        <w:spacing w:after="100" w:before="200"/>
      </w:pPr>
      <w:r>
        <w:t xml:space="preserve">3.10. HPV+ tumours have a plasma-cell- and CD8+ T-cell-rich immune microenvironment</w:t>
      </w:r>
    </w:p>
    <w:p>
      <w:pPr>
        <w:spacing w:after="140" w:line="288"/>
      </w:pPr>
      <w:r>
        <w:t xml:space="preserve">Consistent with the adaptive-immune terms among upregulated genes, CIBERSORTx deconvolution of the 279 TCGA tumours identified five of the 22 LM22 populations whose estimated fractions differed by HPV status after correction for multiple testing (Fig. 5; Table 5; all 22 populations in Supplementary Table S6). Plasma cells showed the largest increase in HPV+ tumours (median fraction 0.488 vs 0.145; FDR = 8.1 × 10</w:t>
      </w:r>
      <w:r>
        <w:rPr>
          <w:vertAlign w:val="superscript"/>
        </w:rPr>
        <w:t xml:space="preserve">−4</w:t>
      </w:r>
      <w:r>
        <w:t xml:space="preserve">), and CD8+ T cells were also higher (0.071 vs 0.043; FDR = 1.7 × 10</w:t>
      </w:r>
      <w:r>
        <w:rPr>
          <w:vertAlign w:val="superscript"/>
        </w:rPr>
        <w:t xml:space="preserve">−3</w:t>
      </w:r>
      <w:r>
        <w:t xml:space="preserve">). HPV+ tumours had lower fractions of M0 macrophages (0.033 vs 0.131; FDR = 5.6 × 10</w:t>
      </w:r>
      <w:r>
        <w:rPr>
          <w:vertAlign w:val="superscript"/>
        </w:rPr>
        <w:t xml:space="preserve">−5</w:t>
      </w:r>
      <w:r>
        <w:t xml:space="preserve">), resting NK cells (0.005 vs 0.029; FDR = 1.7 × 10</w:t>
      </w:r>
      <w:r>
        <w:rPr>
          <w:vertAlign w:val="superscript"/>
        </w:rPr>
        <w:t xml:space="preserve">−3</w:t>
      </w:r>
      <w:r>
        <w:t xml:space="preserve">) and resting CD4+ memory T cells (0.041 vs 0.068; FDR = 0.042). The exploratory log</w:t>
      </w:r>
      <w:r>
        <w:rPr>
          <w:vertAlign w:val="subscript"/>
        </w:rPr>
        <w:t xml:space="preserve">2</w:t>
      </w:r>
      <w:r>
        <w:t xml:space="preserve"> CD8/M2 ratio was correspondingly higher in HPV+ tumours (median 3.29, IQR 1.82 to 15.35, vs 0.78, IQR −0.63 to 3.16; P = 1.0 × 10</w:t>
      </w:r>
      <w:r>
        <w:rPr>
          <w:vertAlign w:val="superscript"/>
        </w:rPr>
        <w:t xml:space="preserve">−4</w:t>
      </w:r>
      <w:r>
        <w:t xml:space="preserve">; Fig. 5f; Supplementary Table S7).</w:t>
      </w:r>
    </w:p>
    <w:p>
      <w:pPr>
        <w:spacing w:after="140" w:line="288"/>
      </w:pPr>
      <w:r>
        <w:t xml:space="preserve">Marker-gene expression supported the deconvolution estimates. CD8+ T-cell fractions correlated with </w:t>
      </w:r>
      <w:r>
        <w:rPr>
          <w:i/>
          <w:iCs/>
        </w:rPr>
        <w:t xml:space="preserve">CD8A</w:t>
      </w:r>
      <w:r>
        <w:t xml:space="preserve"> (Spearman ρ = 0.735) and </w:t>
      </w:r>
      <w:r>
        <w:rPr>
          <w:i/>
          <w:iCs/>
        </w:rPr>
        <w:t xml:space="preserve">CD8B</w:t>
      </w:r>
      <w:r>
        <w:t xml:space="preserve"> (ρ = 0.689) expression (Supplementary Fig. S5), and plasma-cell fractions correlated with </w:t>
      </w:r>
      <w:r>
        <w:rPr>
          <w:i/>
          <w:iCs/>
        </w:rPr>
        <w:t xml:space="preserve">IGHM</w:t>
      </w:r>
      <w:r>
        <w:t xml:space="preserve"> (ρ = 0.913) and </w:t>
      </w:r>
      <w:r>
        <w:rPr>
          <w:i/>
          <w:iCs/>
        </w:rPr>
        <w:t xml:space="preserve">MS4A1</w:t>
      </w:r>
      <w:r>
        <w:t xml:space="preserve"> (ρ = 0.590) expression (Supplementary Table S8). At the transcript level, immunoglobulin and B-cell genes were upregulated in HPV+ tumours, including </w:t>
      </w:r>
      <w:r>
        <w:rPr>
          <w:i/>
          <w:iCs/>
        </w:rPr>
        <w:t xml:space="preserve">IGHM</w:t>
      </w:r>
      <w:r>
        <w:t xml:space="preserve"> (log</w:t>
      </w:r>
      <w:r>
        <w:rPr>
          <w:vertAlign w:val="subscript"/>
        </w:rPr>
        <w:t xml:space="preserve">2</w:t>
      </w:r>
      <w:r>
        <w:t xml:space="preserve">FC = 2.44, FDR = 2.0 × 10</w:t>
      </w:r>
      <w:r>
        <w:rPr>
          <w:vertAlign w:val="superscript"/>
        </w:rPr>
        <w:t xml:space="preserve">−8</w:t>
      </w:r>
      <w:r>
        <w:t xml:space="preserve">), </w:t>
      </w:r>
      <w:r>
        <w:rPr>
          <w:i/>
          <w:iCs/>
        </w:rPr>
        <w:t xml:space="preserve">MS4A1</w:t>
      </w:r>
      <w:r>
        <w:t xml:space="preserve"> (2.07, 1.8 × 10</w:t>
      </w:r>
      <w:r>
        <w:rPr>
          <w:vertAlign w:val="superscript"/>
        </w:rPr>
        <w:t xml:space="preserve">−5</w:t>
      </w:r>
      <w:r>
        <w:t xml:space="preserve">), </w:t>
      </w:r>
      <w:r>
        <w:rPr>
          <w:i/>
          <w:iCs/>
        </w:rPr>
        <w:t xml:space="preserve">IGHA1</w:t>
      </w:r>
      <w:r>
        <w:t xml:space="preserve"> (1.51, 6.4 × 10</w:t>
      </w:r>
      <w:r>
        <w:rPr>
          <w:vertAlign w:val="superscript"/>
        </w:rPr>
        <w:t xml:space="preserve">−4</w:t>
      </w:r>
      <w:r>
        <w:t xml:space="preserve">), </w:t>
      </w:r>
      <w:r>
        <w:rPr>
          <w:i/>
          <w:iCs/>
        </w:rPr>
        <w:t xml:space="preserve">CD79A</w:t>
      </w:r>
      <w:r>
        <w:t xml:space="preserve"> (1.36, 6.7 × 10</w:t>
      </w:r>
      <w:r>
        <w:rPr>
          <w:vertAlign w:val="superscript"/>
        </w:rPr>
        <w:t xml:space="preserve">−4</w:t>
      </w:r>
      <w:r>
        <w:t xml:space="preserve">) and </w:t>
      </w:r>
      <w:r>
        <w:rPr>
          <w:i/>
          <w:iCs/>
        </w:rPr>
        <w:t xml:space="preserve">IGKC</w:t>
      </w:r>
      <w:r>
        <w:t xml:space="preserve"> (1.14, 8.3 × 10</w:t>
      </w:r>
      <w:r>
        <w:rPr>
          <w:vertAlign w:val="superscript"/>
        </w:rPr>
        <w:t xml:space="preserve">−3</w:t>
      </w:r>
      <w:r>
        <w:t xml:space="preserve">), as were </w:t>
      </w:r>
      <w:r>
        <w:rPr>
          <w:i/>
          <w:iCs/>
        </w:rPr>
        <w:t xml:space="preserve">CD8A</w:t>
      </w:r>
      <w:r>
        <w:t xml:space="preserve"> (1.26, 5.3 × 10</w:t>
      </w:r>
      <w:r>
        <w:rPr>
          <w:vertAlign w:val="superscript"/>
        </w:rPr>
        <w:t xml:space="preserve">−5</w:t>
      </w:r>
      <w:r>
        <w:t xml:space="preserve">) and </w:t>
      </w:r>
      <w:r>
        <w:rPr>
          <w:i/>
          <w:iCs/>
        </w:rPr>
        <w:t xml:space="preserve">CD8B</w:t>
      </w:r>
      <w:r>
        <w:t xml:space="preserve"> (1.18, 2.5 × 10</w:t>
      </w:r>
      <w:r>
        <w:rPr>
          <w:vertAlign w:val="superscript"/>
        </w:rPr>
        <w:t xml:space="preserve">−4</w:t>
      </w:r>
      <w:r>
        <w:t xml:space="preserve">); all remained significant after adjustment for primary site (Supplementary Table S3).</w:t>
      </w:r>
    </w:p>
    <w:p>
      <w:pPr>
        <w:spacing w:after="140" w:line="288"/>
      </w:pPr>
      <w:r>
        <w:t xml:space="preserve">HPV+ tumours therefore differ from HPV− tumours in composition as well as in tumour-cell transcription, with a larger lymphoid and plasma-cell component. Because two core meiotic genes, </w:t>
      </w:r>
      <w:r>
        <w:rPr>
          <w:i/>
          <w:iCs/>
        </w:rPr>
        <w:t xml:space="preserve">MEI1</w:t>
      </w:r>
      <w:r>
        <w:t xml:space="preserve"> and </w:t>
      </w:r>
      <w:r>
        <w:rPr>
          <w:i/>
          <w:iCs/>
        </w:rPr>
        <w:t xml:space="preserve">STAG3</w:t>
      </w:r>
      <w:r>
        <w:t xml:space="preserve">, also have documented lymphocyte functions, this compositional difference is the main alternative explanation for a bulk meiotic signal; it is addressed in the analyses that follow.</w:t>
      </w:r>
    </w:p>
    <w:p>
      <w:pPr>
        <w:keepNext/>
        <w:spacing w:after="80" w:before="200"/>
      </w:pPr>
      <w:r>
        <w:rPr>
          <w:b/>
          <w:bCs/>
          <w:sz w:val="18"/>
          <w:szCs w:val="18"/>
        </w:rPr>
        <w:t xml:space="preserve">Table 5.</w:t>
      </w:r>
      <w:r>
        <w:rPr>
          <w:sz w:val="18"/>
          <w:szCs w:val="18"/>
        </w:rPr>
        <w:t xml:space="preserve"> Immune-cell populations whose CIBERSORTx-estimated fractions differed between HPV+ (n = 36) and HPV− (n = 243) TCGA-HNSC tumours. Wilcoxon rank-sum test; Benjamini–Hochberg FDR across all 22 LM22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252"/>
        <w:gridCol w:w="1252"/>
        <w:gridCol w:w="1445"/>
        <w:gridCol w:w="1445"/>
        <w:gridCol w:w="1353"/>
      </w:tblGrid>
      <w:tr>
        <w:trPr>
          <w:tblHeader/>
        </w:trPr>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Immune-cell population</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Direction in HPV+</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Higher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M0 macrophages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Resting NK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Lower</w:t>
            </w:r>
          </w:p>
        </w:tc>
      </w:tr>
      <w:tr>
        <w:trPr>
          <w:cantSplit/>
        </w:trPr>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Resting CD4+ memory T cells</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0.068</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−3</w:t>
            </w:r>
          </w:p>
        </w:tc>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Lower</w:t>
            </w:r>
          </w:p>
        </w:tc>
      </w:tr>
    </w:tbl>
    <w:p>
      <w:pPr>
        <w:keepNext/>
        <w:spacing w:after="80" w:before="120"/>
        <w:jc w:val="center"/>
      </w:pPr>
      <w:r>
        <w:drawing>
          <wp:inline distT="0" distB="0" distL="0" distR="0">
            <wp:extent cx="6096000" cy="4286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4286250"/>
                    </a:xfrm>
                    <a:prstGeom prst="rect">
                      <a:avLst/>
                    </a:prstGeom>
                  </pic:spPr>
                </pic:pic>
              </a:graphicData>
            </a:graphic>
          </wp:inline>
        </w:drawing>
      </w:r>
    </w:p>
    <w:p>
      <w:pPr>
        <w:spacing w:after="220" w:line="260"/>
      </w:pPr>
      <w:r>
        <w:rPr>
          <w:b/>
          <w:bCs/>
          <w:sz w:val="18"/>
          <w:szCs w:val="18"/>
        </w:rPr>
        <w:t xml:space="preserve">Figure 5. Tumour immune microenvironment of HPV+ versus HPV− TCGA-HNSC tumours.</w:t>
      </w:r>
      <w:r>
        <w:rPr>
          <w:sz w:val="18"/>
          <w:szCs w:val="18"/>
        </w:rPr>
        <w:t xml:space="preserve"> CIBERSORTx (LM22) estimated fractions of (a) plasma cells, (b) CD8+ T cells, (c) M0 macrophages, (d) resting NK cells and (e) resting CD4+ memory T cells, the five populations that differed after Benjamini–Hochberg correction across 22 cell types (FDR shown above each panel). (f) Exploratory log</w:t>
      </w:r>
      <w:r>
        <w:rPr>
          <w:sz w:val="18"/>
          <w:szCs w:val="18"/>
          <w:vertAlign w:val="subscript"/>
        </w:rPr>
        <w:t xml:space="preserve">2</w:t>
      </w:r>
      <w:r>
        <w:rPr>
          <w:sz w:val="18"/>
          <w:szCs w:val="18"/>
        </w:rPr>
        <w:t xml:space="preserve"> CD8/M2 macrophage ratio. Boxes show the median and interquartile range; points are individual tumours (36 HPV+, 243 HPV−).</w:t>
      </w:r>
    </w:p>
    <w:p>
      <w:pPr>
        <w:pStyle w:val="Heading2"/>
        <w:keepNext/>
        <w:spacing w:after="100" w:before="200"/>
      </w:pPr>
      <w:r>
        <w:t xml:space="preserve">3.11. The meiotic programme is confined to malignant cells</w:t>
      </w:r>
    </w:p>
    <w:p>
      <w:pPr>
        <w:spacing w:after="140" w:line="288"/>
      </w:pPr>
      <w:r>
        <w:t xml:space="preserve">All the cohorts above comprise bulk tissue, and HPV+ tumours are richer in lymphocytes and plasma cells (Section 3.10). The meiotic signal could therefore reflect a larger population of non-malignant cells that constitutively express meiotic genes rather than reactivation within tumour cells. This was tested in GSE181919, a single-cell HNSCC atlas annotated for HPV status and malignant versus stromal identity. After restriction to primary tumours, 2,463 malignant cells from 7 HPV+ patients, 2,366 malignant cells from 13 HPV− patients and 18,259 non-malignant cells from the same tumours were available. Published cell-type annotations were re-derived from canonical markers, confirming all nine reported cell types. Malignant cells had the greatest sequencing depth (median 21,880 UMIs and 3,885 detected genes per cell), making differential dropout an unlikely explanation for a compartment-specific signal.</w:t>
      </w:r>
    </w:p>
    <w:p>
      <w:pPr>
        <w:spacing w:after="140" w:line="288"/>
      </w:pPr>
      <w:r>
        <w:t xml:space="preserve">The HPV contrast was confined to the malignant compartment. With the six-gene core score computed per cell, malignant cells differed by 0.100 between HPV groups (AUC = 0.868), whereas every non-malignant cell type, including the T, B and plasma-cell compartments, differed by at most 0.011 in either direction (Fig. 6a, b). In a mixed model of the six-gene core score over all cells, with patient as a random effect and per-cell detection depth as a covariate, the HPV × malignant interaction was 0.081 (P = 5.5 × 10</w:t>
      </w:r>
      <w:r>
        <w:rPr>
          <w:vertAlign w:val="superscript"/>
        </w:rPr>
        <w:t xml:space="preserve">−128</w:t>
      </w:r>
      <w:r>
        <w:t xml:space="preserve">); within malignant cells alone, the HPV+ effect was 0.108 (95% CI 0.071–0.144). Omitting </w:t>
      </w:r>
      <w:r>
        <w:rPr>
          <w:i/>
          <w:iCs/>
        </w:rPr>
        <w:t xml:space="preserve">MAJIN</w:t>
      </w:r>
      <w:r>
        <w:t xml:space="preserve">, which is deposited under its previous symbol </w:t>
      </w:r>
      <w:r>
        <w:rPr>
          <w:i/>
          <w:iCs/>
        </w:rPr>
        <w:t xml:space="preserve">C11orf85</w:t>
      </w:r>
      <w:r>
        <w:t xml:space="preserve">, did not alter the result: with the five core genes matched by current symbol alone, the per-cell contrast was 0.115 (AUC 0.866). Fig. 6 shows the six-gene core score.</w:t>
      </w:r>
    </w:p>
    <w:p>
      <w:pPr>
        <w:spacing w:after="140" w:line="288"/>
      </w:pPr>
      <w:r>
        <w:t xml:space="preserve">The effect was not driven by a single tumour. With malignant cells aggregated per patient, all 7 HPV+ tumours scored above all 13 HPV− tumours on the six-gene core score (two-sided exact Mann–Whitney P = 2.6 × 10</w:t>
      </w:r>
      <w:r>
        <w:rPr>
          <w:vertAlign w:val="superscript"/>
        </w:rPr>
        <w:t xml:space="preserve">−5</w:t>
      </w:r>
      <w:r>
        <w:t xml:space="preserve">; Fig. 6e), and separation persisted after removal of any single HPV+ patient (largest leave-one-out P = 7.4 × 10</w:t>
      </w:r>
      <w:r>
        <w:rPr>
          <w:vertAlign w:val="superscript"/>
        </w:rPr>
        <w:t xml:space="preserve">−5</w:t>
      </w:r>
      <w:r>
        <w:t xml:space="preserve">). Pseudobulk expression, a method independent of per-cell scoring, gave the same result: among 6 HPV+ and 13 HPV− tumours with at least 20 malignant cells, core-module pseudobulk expression (six genes) was 6.6-fold higher in HPV+ malignant cells (P = 7.4 × 10</w:t>
      </w:r>
      <w:r>
        <w:rPr>
          <w:vertAlign w:val="superscript"/>
        </w:rPr>
        <w:t xml:space="preserve">−5</w:t>
      </w:r>
      <w:r>
        <w:t xml:space="preserve">), whereas the cancer–testis comparator was unchanged (0.96-fold, P = 0.52) (Fig. 6c). For individual genes, </w:t>
      </w:r>
      <w:r>
        <w:rPr>
          <w:i/>
          <w:iCs/>
        </w:rPr>
        <w:t xml:space="preserve">SYCP2</w:t>
      </w:r>
      <w:r>
        <w:t xml:space="preserve"> was detected in 35.8% of HPV+ versus 1.5% of HPV− malignant cells and </w:t>
      </w:r>
      <w:r>
        <w:rPr>
          <w:i/>
          <w:iCs/>
        </w:rPr>
        <w:t xml:space="preserve">SMC1B</w:t>
      </w:r>
      <w:r>
        <w:t xml:space="preserve"> in 29.5% versus 0.6% (Fig. 6d); across the panel, 15 of 30 meiotic genes but only 4 of 13 cancer–testis antigens were detected significantly more often in HPV+ malignant cells (FDR &lt; 0.05), reproducing within tumour cells the class asymmetry seen in bulk.</w:t>
      </w:r>
    </w:p>
    <w:p>
      <w:pPr>
        <w:spacing w:after="140" w:line="288"/>
        <w:sectPr>
          <w:footerReference w:type="default" r:id="rId10"/>
          <w:pgSz w:w="11906" w:h="16838" w:orient="portrait"/>
          <w:pgMar w:top="1134" w:right="1134" w:bottom="1134" w:left="1134" w:header="708" w:footer="708" w:gutter="0"/>
          <w:pgNumType/>
          <w:docGrid w:linePitch="360"/>
        </w:sectPr>
      </w:pPr>
      <w:r>
        <w:t xml:space="preserve">The core genes were not uniformly malignant-specific, and the departures were systematic. </w:t>
      </w:r>
      <w:r>
        <w:rPr>
          <w:i/>
          <w:iCs/>
        </w:rPr>
        <w:t xml:space="preserve">SYCP2</w:t>
      </w:r>
      <w:r>
        <w:t xml:space="preserve"> and </w:t>
      </w:r>
      <w:r>
        <w:rPr>
          <w:i/>
          <w:iCs/>
        </w:rPr>
        <w:t xml:space="preserve">SMC1B</w:t>
      </w:r>
      <w:r>
        <w:t xml:space="preserve"> were detected 7.7- and 11.0-fold more often in malignant cells than in the most-detecting non-malignant compartment, whereas </w:t>
      </w:r>
      <w:r>
        <w:rPr>
          <w:i/>
          <w:iCs/>
        </w:rPr>
        <w:t xml:space="preserve">STAG3</w:t>
      </w:r>
      <w:r>
        <w:t xml:space="preserve"> showed little enrichment (1.18-fold) and </w:t>
      </w:r>
      <w:r>
        <w:rPr>
          <w:i/>
          <w:iCs/>
        </w:rPr>
        <w:t xml:space="preserve">MEI1</w:t>
      </w:r>
      <w:r>
        <w:t xml:space="preserve"> was detected more often in B/plasma cells than in malignant cells (0.22-fold; Supplementary Table S9). Both exceptions have documented lymphocyte functions alongside their meiotic roles, which links them directly to the plasma-cell and B-cell enrichment of HPV+ tumours. Excluding these two genes gave the four-gene meiosis-specific score (</w:t>
      </w:r>
      <w:r>
        <w:rPr>
          <w:i/>
          <w:iCs/>
        </w:rPr>
        <w:t xml:space="preserve">SMC1B</w:t>
      </w:r>
      <w:r>
        <w:t xml:space="preserve">, </w:t>
      </w:r>
      <w:r>
        <w:rPr>
          <w:i/>
          <w:iCs/>
        </w:rPr>
        <w:t xml:space="preserve">SYCP2</w:t>
      </w:r>
      <w:r>
        <w:t xml:space="preserve">, </w:t>
      </w:r>
      <w:r>
        <w:rPr>
          <w:i/>
          <w:iCs/>
        </w:rPr>
        <w:t xml:space="preserve">SYCE2</w:t>
      </w:r>
      <w:r>
        <w:t xml:space="preserve">, </w:t>
      </w:r>
      <w:r>
        <w:rPr>
          <w:i/>
          <w:iCs/>
        </w:rPr>
        <w:t xml:space="preserve">MAJIN</w:t>
      </w:r>
      <w:r>
        <w:t xml:space="preserve">), which removes the lymphoid contribution; all conclusions held for both scores (Table 6).</w:t>
      </w:r>
    </w:p>
    <w:p>
      <w:pPr>
        <w:keepNext/>
        <w:spacing w:after="80" w:before="120"/>
        <w:jc w:val="center"/>
      </w:pPr>
      <w:r>
        <w:drawing>
          <wp:inline distT="0" distB="0" distL="0" distR="0">
            <wp:extent cx="7429500" cy="46577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429500" cy="4657725"/>
                    </a:xfrm>
                    <a:prstGeom prst="rect">
                      <a:avLst/>
                    </a:prstGeom>
                  </pic:spPr>
                </pic:pic>
              </a:graphicData>
            </a:graphic>
          </wp:inline>
        </w:drawing>
      </w:r>
    </w:p>
    <w:p>
      <w:pPr>
        <w:spacing w:after="220" w:line="260"/>
        <w:sectPr>
          <w:footerReference w:type="default" r:id="rId11"/>
          <w:pgSz w:w="16838" w:h="11906" w:orient="landscape"/>
          <w:pgMar w:top="1134" w:right="1134" w:bottom="1134" w:left="1134" w:header="708" w:footer="708" w:gutter="0"/>
          <w:pgNumType/>
          <w:docGrid w:linePitch="360"/>
        </w:sectPr>
      </w:pPr>
      <w:r>
        <w:rPr>
          <w:b/>
          <w:bCs/>
          <w:sz w:val="18"/>
          <w:szCs w:val="18"/>
        </w:rPr>
        <w:t xml:space="preserve">Figure 6. The meiotic programme is localised to malignant cells, not the tumour microenvironment (GSE181919; 23,088 primary-tumour cells).</w:t>
      </w:r>
      <w:r>
        <w:rPr>
          <w:sz w:val="18"/>
          <w:szCs w:val="18"/>
        </w:rPr>
        <w:t xml:space="preserve"> The core module in all panels comprises all six core genes (</w:t>
      </w:r>
      <w:r>
        <w:rPr>
          <w:i/>
          <w:iCs/>
          <w:sz w:val="18"/>
          <w:szCs w:val="18"/>
        </w:rPr>
        <w:t xml:space="preserve">MAJIN</w:t>
      </w:r>
      <w:r>
        <w:rPr>
          <w:sz w:val="18"/>
          <w:szCs w:val="18"/>
        </w:rPr>
        <w:t xml:space="preserve"> is deposited as </w:t>
      </w:r>
      <w:r>
        <w:rPr>
          <w:i/>
          <w:iCs/>
          <w:sz w:val="18"/>
          <w:szCs w:val="18"/>
        </w:rPr>
        <w:t xml:space="preserve">C11orf85</w:t>
      </w:r>
      <w:r>
        <w:rPr>
          <w:sz w:val="18"/>
          <w:szCs w:val="18"/>
        </w:rPr>
        <w:t xml:space="preserve"> and was queried under that symbol); P values are two-sided Mann–Whitney tests at patient level. (a) Difference in core module score between HPV+ and HPV− cells, by cell type. (b) Per-cell core module score in malignant cells. (c) Patient-level pseudobulk expression of the core module in malignant cells; point area is proportional to the number of contributing cells, and patients with fewer than 20 malignant cells are omitted. (d) Fraction of malignant cells in which each panel gene is detected, HPV+ against HPV−; the dashed line marks parity. (e) Patient-level effect sizes for the core module (six genes), the wider meiotic panel and the classic CTAs, showing that the contrast is specific to the meiotic machinery rather than a general germ-cell effect.</w:t>
      </w:r>
    </w:p>
    <w:p>
      <w:pPr>
        <w:pStyle w:val="Heading2"/>
        <w:keepNext/>
        <w:spacing w:after="100" w:before="200"/>
      </w:pPr>
      <w:r>
        <w:t xml:space="preserve">3.12. The malignant-cell localisation replicates in an independent single-cell cohort</w:t>
      </w:r>
    </w:p>
    <w:p>
      <w:pPr>
        <w:spacing w:after="140" w:line="288"/>
      </w:pPr>
      <w:r>
        <w:t xml:space="preserve">Because a single-cell cohort with seven HPV+ tumours cannot support this conclusion alone, the analysis was repeated in GSE182227, an oropharyngeal cohort of 16 tumours (11 HPV+, 5 HPV−) deposited without cell-type or malignant-cell annotations. De novo annotation with the same canonical marker panels resolved nine lineages (Fig. 7a), and the epithelial compartment was divided into malignant and normal epithelium using adjacent-normal tissue fraction and inferred copy number, neither of which involves a meiotic gene. Malignant cells clustered by patient, whereas normal epithelium from different patients clustered together (Fig. 7b). One of 16 epithelial clusters contained 75% of all adjacent-normal epithelial cells in the cohort and had an inferred copy-number score of 0.094, compared with a median of 0.126 across malignant clusters; both criteria classified it as normal. With this assignment, 3.9% of normal epithelial cells (n = 2,127) detected any of the four meiosis-specific genes, compared with 37.2% of 23,709 malignant cells (Fig. 7c); retaining the normal cluster in the malignant set would have substantially inflated apparent meiotic expression in normal epithelium.</w:t>
      </w:r>
    </w:p>
    <w:p>
      <w:pPr>
        <w:spacing w:after="140" w:line="288"/>
      </w:pPr>
      <w:r>
        <w:t xml:space="preserve">With the compartment defined, the HPV contrast was reproduced. Per tumour, the four-gene meiosis-specific score was 0.176 higher in HPV+ than in HPV− tumours (AUC = 0.945, 95% CI 0.84–1.00; two-sided P = 0.003; Fig. 7d), compared with 0.112 (AUC = 1.000, P = 7.4 × 10</w:t>
      </w:r>
      <w:r>
        <w:rPr>
          <w:vertAlign w:val="superscript"/>
        </w:rPr>
        <w:t xml:space="preserve">−5</w:t>
      </w:r>
      <w:r>
        <w:t xml:space="preserve">) for the same score in GSE181919, giving the same direction and comparable magnitude in two cohorts annotated by different procedures (Fig. 7e; Table 6). The six-gene core score gave equivalent results in both cohorts (Table 6). The cancer–testis comparator discriminated in neither cohort (AUC = 0.282, 95% CI 0.04–0.52, P = 0.15; AUC = 0.564, 95% CI 0.26–0.87, P = 0.74), nor did the proliferation score alone (AUC = 0.731 and 0.782). Tumour-level separation in GSE182227 was near-complete: two HPV+ tumours fell within the HPV− range (Fig. 7d): OP13, which contributed only 155 malignant cells and scored below two HPV− tumours (OP8 and OP12), and OP35 (270 malignant cells), which scored below OP8, giving 3 discordant pairs of 55 (AUC = 0.945). When the core score was recomputed with an independently written implementation, which annotated epithelial cells from marker genes without a copy-number split, OP13 versus OP8 was the only discordant pair (1 of 55; AUC = 0.982, P = 9.2 × 10</w:t>
      </w:r>
      <w:r>
        <w:rPr>
          <w:vertAlign w:val="superscript"/>
        </w:rPr>
        <w:t xml:space="preserve">−4</w:t>
      </w:r>
      <w:r>
        <w:t xml:space="preserve">), and per-tumour scores from the two implementations were highly correlated (Pearson r = 0.94). The proportion of malignant cells detecting any of the four meiosis-specific genes separated the groups completely (AUC = 1.000, P = 4.6 × 10</w:t>
      </w:r>
      <w:r>
        <w:rPr>
          <w:vertAlign w:val="superscript"/>
        </w:rPr>
        <w:t xml:space="preserve">−4</w:t>
      </w:r>
      <w:r>
        <w:t xml:space="preserve">), suggesting that the prevalence of programme-positive cells is a more stable readout than the mean score when few cells are available.</w:t>
      </w:r>
    </w:p>
    <w:p>
      <w:pPr>
        <w:spacing w:after="140" w:line="288"/>
      </w:pPr>
      <w:r>
        <w:t xml:space="preserve">Proliferation is an important potential confounder because meiotic and mitotic programmes share components and HPV+ tumours are more proliferative. In the pooled analysis of 35 tumours from both cohorts (the 19 GSE181919 tumours with at least 20 malignant cells and all 16 GSE182227 tumours), adding the proliferation score reduced the HPV coefficient for the four-gene meiosis-specific score from 0.141 (P = 4.5 × 10</w:t>
      </w:r>
      <w:r>
        <w:rPr>
          <w:vertAlign w:val="superscript"/>
        </w:rPr>
        <w:t xml:space="preserve">−6</w:t>
      </w:r>
      <w:r>
        <w:t xml:space="preserve">) to 0.109 (P = 2.7 × 10</w:t>
      </w:r>
      <w:r>
        <w:rPr>
          <w:vertAlign w:val="superscript"/>
        </w:rPr>
        <w:t xml:space="preserve">−5</w:t>
      </w:r>
      <w:r>
        <w:t xml:space="preserve">), a 22% attenuation (Fig. 7f; Supplementary Table S10). Proliferation therefore accounted for about one-fifth of the association. The attenuation was larger in GSE182227 (34%) than in GSE181919 (6%), and in the pooled model proliferation had an independent coefficient of 0.359 (P = 2.8 × 10</w:t>
      </w:r>
      <w:r>
        <w:rPr>
          <w:vertAlign w:val="superscript"/>
        </w:rPr>
        <w:t xml:space="preserve">−4</w:t>
      </w:r>
      <w:r>
        <w:t xml:space="preserve">), supporting separability of the two associations. The pooled adjusted estimate was robust to the regression method: heteroskedasticity-consistent standard errors gave P = 1.3 × 10</w:t>
      </w:r>
      <w:r>
        <w:rPr>
          <w:vertAlign w:val="superscript"/>
        </w:rPr>
        <w:t xml:space="preserve">−4</w:t>
      </w:r>
      <w:r>
        <w:t xml:space="preserve">, and Huber robust regression gave a coefficient of 0.097 (P = 9.1 × 10</w:t>
      </w:r>
      <w:r>
        <w:rPr>
          <w:vertAlign w:val="superscript"/>
        </w:rPr>
        <w:t xml:space="preserve">−8</w:t>
      </w:r>
      <w:r>
        <w:t xml:space="preserve">).</w:t>
      </w:r>
    </w:p>
    <w:p>
      <w:pPr>
        <w:keepNext/>
        <w:spacing w:after="80" w:before="200"/>
      </w:pPr>
      <w:r>
        <w:rPr>
          <w:b/>
          <w:bCs/>
          <w:sz w:val="18"/>
          <w:szCs w:val="18"/>
        </w:rPr>
        <w:t xml:space="preserve">Table 6.</w:t>
      </w:r>
      <w:r>
        <w:rPr>
          <w:sz w:val="18"/>
          <w:szCs w:val="18"/>
        </w:rPr>
        <w:t xml:space="preserve"> HPV contrast in per-tumour module scores in both single-cell cohorts, malignant cells only. Δ, difference in mean score between HPV+ and HPV− tumours; P, two-sided Mann–Whitney test on tumour-level means. These tumour-level contrasts are not directly comparable with the per-cell contrasts in Fig. 6a.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963"/>
        <w:gridCol w:w="963"/>
        <w:gridCol w:w="1542"/>
        <w:gridCol w:w="1737"/>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289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Score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Δ</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AUC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Complete separation</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(5 of 10 genes detected)</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−0.089</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Six-gene core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0.162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Four-gene meiosis-specific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0.945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CTA control (10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0.087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0.74</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GSE182227</w:t>
            </w:r>
          </w:p>
        </w:tc>
        <w:tc>
          <w:tcPr>
            <w:tcW w:type="dxa" w:w="289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Proliferation control (6 genes)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0.145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0.782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ectPr>
          <w:footerReference w:type="default" r:id="rId12"/>
          <w:pgSz w:w="11906" w:h="16838" w:orient="portrait"/>
          <w:pgMar w:top="1134" w:right="1134" w:bottom="1134" w:left="1134" w:header="708" w:footer="708" w:gutter="0"/>
          <w:pgNumType/>
          <w:docGrid w:linePitch="360"/>
        </w:sectPr>
      </w:pPr>
    </w:p>
    <w:p>
      <w:pPr>
        <w:keepNext/>
        <w:spacing w:after="80" w:before="120"/>
        <w:jc w:val="center"/>
      </w:pPr>
      <w:r>
        <w:drawing>
          <wp:inline distT="0" distB="0" distL="0" distR="0">
            <wp:extent cx="8572500" cy="5257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572500" cy="5257800"/>
                    </a:xfrm>
                    <a:prstGeom prst="rect">
                      <a:avLst/>
                    </a:prstGeom>
                  </pic:spPr>
                </pic:pic>
              </a:graphicData>
            </a:graphic>
          </wp:inline>
        </w:drawing>
      </w:r>
    </w:p>
    <w:p>
      <w:pPr>
        <w:spacing w:after="220" w:line="260"/>
        <w:sectPr>
          <w:footerReference w:type="default" r:id="rId13"/>
          <w:pgSz w:w="16838" w:h="11906" w:orient="landscape"/>
          <w:pgMar w:top="1134" w:right="1134" w:bottom="1134" w:left="1134" w:header="708" w:footer="708" w:gutter="0"/>
          <w:pgNumType/>
          <w:docGrid w:linePitch="360"/>
        </w:sectPr>
      </w:pPr>
      <w:r>
        <w:rPr>
          <w:b/>
          <w:bCs/>
          <w:sz w:val="18"/>
          <w:szCs w:val="18"/>
        </w:rPr>
        <w:t xml:space="preserve">Figure 7. Independent replication in GSE182227 (16 oropharyngeal tumours, annotated de novo).</w:t>
      </w:r>
      <w:r>
        <w:rPr>
          <w:sz w:val="18"/>
          <w:szCs w:val="18"/>
        </w:rPr>
        <w:t xml:space="preserve"> (a) Lineage annotation from canonical markers. (b) Malignant cells, coloured by HPV status, cluster by patient, whereas normal epithelium is shared across patients, the property used to separate the two. (c) Percentage of cells detecting any of the four meiosis-specific genes, by compartment, after the epithelial split. (d) Per-tumour four-gene meiosis-specific score by HPV status; two HPV+ tumours fall within the HPV− range (see text). (e) The same four-gene contrast in both single-cell cohorts. (f) HPV effect on the four-gene meiosis-specific score with and without adjustment for proliferation, by cohort and pooled; bars are 95% confidence intervals.</w:t>
      </w:r>
    </w:p>
    <w:p>
      <w:pPr>
        <w:pStyle w:val="Heading2"/>
        <w:keepNext/>
        <w:spacing w:after="100" w:before="200"/>
      </w:pPr>
      <w:r>
        <w:t xml:space="preserve">3.13. Exploratory univariable survival analysis</w:t>
      </w:r>
    </w:p>
    <w:p>
      <w:pPr>
        <w:spacing w:after="140" w:line="288"/>
      </w:pPr>
      <w:r>
        <w:t xml:space="preserve">All 279 tumours in the transcriptomic cohort had overall-survival annotation (140 deaths; Table 1). In exploratory univariable Cox models, higher expression of seven of the nine leading HPV-upregulated genes was nominally associated with longer overall survival, with HRs per standard deviation between 0.70 (</w:t>
      </w:r>
      <w:r>
        <w:rPr>
          <w:i/>
          <w:iCs/>
        </w:rPr>
        <w:t xml:space="preserve">ZFR2</w:t>
      </w:r>
      <w:r>
        <w:t xml:space="preserve">; 95% CI 0.56–0.87) and 0.82 (</w:t>
      </w:r>
      <w:r>
        <w:rPr>
          <w:i/>
          <w:iCs/>
        </w:rPr>
        <w:t xml:space="preserve">SMC1B</w:t>
      </w:r>
      <w:r>
        <w:t xml:space="preserve"> and </w:t>
      </w:r>
      <w:r>
        <w:rPr>
          <w:i/>
          <w:iCs/>
        </w:rPr>
        <w:t xml:space="preserve">GRIN2C</w:t>
      </w:r>
      <w:r>
        <w:t xml:space="preserve">); associations for </w:t>
      </w:r>
      <w:r>
        <w:rPr>
          <w:i/>
          <w:iCs/>
        </w:rPr>
        <w:t xml:space="preserve">TDRD10</w:t>
      </w:r>
      <w:r>
        <w:t xml:space="preserve"> and </w:t>
      </w:r>
      <w:r>
        <w:rPr>
          <w:i/>
          <w:iCs/>
        </w:rPr>
        <w:t xml:space="preserve">RAD9B</w:t>
      </w:r>
      <w:r>
        <w:t xml:space="preserve"> did not reach nominal significance (Supplementary Table S11; Supplementary Fig. S6). Kaplan–Meier curves for </w:t>
      </w:r>
      <w:r>
        <w:rPr>
          <w:i/>
          <w:iCs/>
        </w:rPr>
        <w:t xml:space="preserve">ZFR2</w:t>
      </w:r>
      <w:r>
        <w:t xml:space="preserve">, split at median expression, are shown in Supplementary Fig. S7. These models were not adjusted for HPV status, stage, smoking or treatment and were not corrected for multiple testing. Because the genes are strongly HPV-associated and HPV+ patients had markedly better outcomes in this cohort (Table 1), the associations are likely to reflect HPV status to a large extent and should not be interpreted as independent prognostic effects.</w:t>
      </w:r>
    </w:p>
    <w:p>
      <w:pPr>
        <w:pStyle w:val="Heading1"/>
        <w:spacing w:after="140" w:before="280"/>
      </w:pPr>
      <w:r>
        <w:t xml:space="preserve">4. Discussion</w:t>
      </w:r>
    </w:p>
    <w:p>
      <w:pPr>
        <w:spacing w:after="140" w:line="288"/>
      </w:pPr>
      <w:r>
        <w:t xml:space="preserve">HPV+ HNSCC differed from HPV− disease along three transcriptional axes: induction of the meiotic machinery, an adaptive-immune and plasma-cell-rich microenvironment, and reduced keratinisation and epithelial-differentiation programmes. The central finding concerns the first. Germ-cell genes expressed in HPV+ HNSCC were drawn preferentially from the meiotic machinery rather than representing a random subset of germline genes; they were co-expressed as a module, and their promoters showed demethylation that tracked their expression. These observations are inconsistent with the stochastic de-repression model usually assumed for cancer–testis antigen expression [15, 18]. The comparison was made within the same tumours using the pre-specified MAGE/CTAG comparator, which showed no discriminatory signal (AUC = 0.411), whereas the synaptonemal complex reached an AUC of 0.930.</w:t>
      </w:r>
    </w:p>
    <w:p>
      <w:pPr>
        <w:spacing w:after="140" w:line="288"/>
      </w:pPr>
      <w:r>
        <w:t xml:space="preserve">The association with viral transcriptional activity is the most mechanistically informative result. HPV DNA-positive tumours without viral transcription resembled HPV− tumours on the core meiotic score (P = 0.56), whereas virus-active tumours were clearly separated. This ordering places the programme downstream of E6/E7 expression rather than of viral DNA presence and is consistent with the reported capacity of E7 to induce locus-specific promoter methylation changes [9]. It also has a practical implication: studies relying on HPV DNA status alone may underestimate associations of this type, as shown by the fall in AUC from 0.959 to 0.753 when DNA-based classification was applied to the same samples.</w:t>
      </w:r>
    </w:p>
    <w:p>
      <w:pPr>
        <w:spacing w:after="140" w:line="288"/>
      </w:pPr>
      <w:r>
        <w:t xml:space="preserve">Two non-exclusive explanations could account for the preferential and coordinated activation of the meiotic machinery. One is shared regulatory architecture, whereby the core meiotic genes are governed by a common germline-restricted programme whose methylation-dependent repression is relieved together; this would account for both the specificity and the coherence of the programme. One candidate, which has not been tested experimentally, is E2F6-dependent repression. In somatic cells, meiosis-specific genes carry a conserved E2F6-binding element in their promoters [44], E2F6 silences </w:t>
      </w:r>
      <w:r>
        <w:rPr>
          <w:i/>
          <w:iCs/>
        </w:rPr>
        <w:t xml:space="preserve">SMC1B</w:t>
      </w:r>
      <w:r>
        <w:t xml:space="preserve"> and </w:t>
      </w:r>
      <w:r>
        <w:rPr>
          <w:i/>
          <w:iCs/>
        </w:rPr>
        <w:t xml:space="preserve">STAG3</w:t>
      </w:r>
      <w:r>
        <w:t xml:space="preserve"> [45], and E2F6 recruits DNMT3B to establish methylation at germline gene promoters [46]; no comparable E2F6 dependence has been described for the MAGE/CTAG family, whose silencing is attributed mainly to promoter DNA methylation [18]. Because E7 disrupts RB–E2F control [7], interference with E2F6-dependent repression could, if confirmed, provide a single mechanism for the class specificity, the coordination and the dependence on viral transcription observed here. This predicts reduced E2F6 or DNMT3B occupancy at core meiotic promoters in E7-expressing cells, and de-repression of the core genes, but not of MAGE/CTAG genes, after E2F6 depletion. The near-equal coherence in transcriptionally silent HPV+ tumours (0.541) and active ones (0.556) would also fit co-regulation that precedes activation; in both groups, coherence exceeded a size-matched null. The other is functional selection. Ectopic meiotic cohesin generates chromosomal instability [22], ectopically expressed HORMAD1 has been linked to genomic instability and homologous-recombination deficiency [23, 24] and to protection of stalled replication forks [25], and partial activation of the meiotic programme has been proposed to be oncogenic [26]. Under this model, the meiotic module could be retained because it confers an advantage to tumour cells rather than simply reflecting passive demethylation. Distinguishing these explanations will require perturbation experiments.</w:t>
      </w:r>
    </w:p>
    <w:p>
      <w:pPr>
        <w:spacing w:after="140" w:line="288"/>
      </w:pPr>
      <w:r>
        <w:t xml:space="preserve">The immune findings place this programme in context. HPV+ tumours showed higher estimated plasma-cell and CD8+ T-cell fractions and lower M0 macrophage, resting NK-cell and resting CD4+ memory T-cell fractions, supported by correlations of the estimates with lineage marker genes and by upregulation of immunoglobulin and B-cell transcripts that persisted after adjustment for primary site. B-cell- and plasma-cell-rich infiltrates and tertiary lymphoid structures have been associated with favourable outcome and immunotherapy response in other tumour types [47, 48], and a lymphocyte-rich microenvironment is a recognised feature of HPV+ HNSCC [5]. The lymphoid-rich oropharynx, where most HPV+ tumours arise, probably contributes to the plasma-cell signal, and these are relative, computationally inferred fractions rather than direct cell counts. In this study the immune differences also define the compositional confound that a bulk meiotic signal must overcome, and the single-cell data address it. The HPV contrast was confined to malignant cells and was essentially absent from the lymphocyte populations that differ most in abundance between HPV+ and HPV− tumours. Within HPV+ tumours, core meiotic genes were also detected more often in malignant than in non-malignant cells of the same specimen, arguing against a tumour-wide field effect. The two exceptions to malignant-cell specificity, </w:t>
      </w:r>
      <w:r>
        <w:rPr>
          <w:i/>
          <w:iCs/>
        </w:rPr>
        <w:t xml:space="preserve">MEI1</w:t>
      </w:r>
      <w:r>
        <w:t xml:space="preserve"> and </w:t>
      </w:r>
      <w:r>
        <w:rPr>
          <w:i/>
          <w:iCs/>
        </w:rPr>
        <w:t xml:space="preserve">STAG3</w:t>
      </w:r>
      <w:r>
        <w:t xml:space="preserve">, were detected in B/plasma cells, exactly where the bulk immune analysis would predict contamination, and excluding them did not change the conclusion. That the same localisation was observed in a second cohort annotated de novo, with its malignant compartment defined by copy number and tissue of origin rather than deposited labels, makes an annotation artefact unlikely.</w:t>
      </w:r>
    </w:p>
    <w:p>
      <w:pPr>
        <w:spacing w:after="140" w:line="288"/>
      </w:pPr>
      <w:r>
        <w:t xml:space="preserve">The reduced expression of keratinisation, cornified-envelope and epithelial-differentiation genes in HPV+ tumours is consistent with the non-keratinising histology and tonsillar-crypt origin of most HPV+ oropharyngeal carcinomas [5]. It persisted after adjustment for site and serves as an internal check that the transcriptomic contrast captures established HPV-associated biology. Whether loss of squamous differentiation is related to meiotic reactivation cannot be determined from these data.</w:t>
      </w:r>
    </w:p>
    <w:p>
      <w:pPr>
        <w:spacing w:after="140" w:line="288"/>
      </w:pPr>
      <w:r>
        <w:t xml:space="preserve">These findings bear on how this gene class is used translationally. Cancer–testis antigens are pursued as immunotherapeutic targets largely because of their tumour-restricted expression [19, 20]. In HPV+ HNSCC, the MAGE/CTAG family did not distinguish tumours by HPV status, whereas the meiotic structural and recombination components did, were more tightly co-expressed, and were expressed in malignant cells within a lymphocyte-rich microenvironment. This is an argument about target selection based on expression specificity, not evidence of immunogenicity, which was not assessed. The exploratory survival analysis adds little to this argument: several leading HPV-associated genes were nominally associated with longer overall survival, but the models were univariable and not adjusted for HPV status, stage, smoking or treatment, so the associations probably reflect the better prognosis of HPV+ disease. Whether meiotic-programme activity carries prognostic information within HPV+ tumours requires larger, adequately adjusted cohorts.</w:t>
      </w:r>
    </w:p>
    <w:p>
      <w:pPr>
        <w:spacing w:after="140" w:line="288"/>
      </w:pPr>
      <w:r>
        <w:t xml:space="preserve">The single-cell data do not indicate uniform activation across malignant cells. Even in HPV+ tumours, individual meiotic transcripts were detected in a minority of malignant cells; </w:t>
      </w:r>
      <w:r>
        <w:rPr>
          <w:i/>
          <w:iCs/>
        </w:rPr>
        <w:t xml:space="preserve">SYCP2</w:t>
      </w:r>
      <w:r>
        <w:t xml:space="preserve"> had the highest detection rate (35.8%). Limited detection partly reflects the sensitivity of 3′ droplet-based sequencing, but activation restricted to a malignant subpopulation cannot be excluded. Module scores and patient-level aggregates are therefore more robust measures of programme activation than single-cell detection, and higher-sensitivity approaches such as full-length or targeted single-cell sequencing will be needed to resolve this question.</w:t>
      </w:r>
    </w:p>
    <w:p>
      <w:pPr>
        <w:pStyle w:val="Heading2"/>
        <w:keepNext/>
        <w:spacing w:after="100" w:before="200"/>
      </w:pPr>
      <w:r>
        <w:t xml:space="preserve">4.1. Provenance and circularity</w:t>
      </w:r>
    </w:p>
    <w:p>
      <w:pPr>
        <w:spacing w:after="140" w:line="288"/>
      </w:pPr>
      <w:r>
        <w:t xml:space="preserve">The panel was constructed after the genome-wide enrichment analysis had identified meiosis as a dominant theme, so the overlap statistics in Supplementary Fig. S2c quantify the magnitude of an effect in the same samples that motivated panel construction and are not independent evidence. Three considerations limit the consequences of this dependence. First, panel membership was defined from the meiosis literature and CTdatabase conventions rather than from the differential-expression results, and 49 of the 86 testable panel genes were not upregulated. Second, the substantive conclusions concern the specificity and structure of germ-cell expression rather than its presence: concentration in the meiotic machinery rather than the MAGE/CTAG family, coordinated behaviour, and dependence on viral transcriptional activity. None of these follows from the enrichment analysis, and the class contrast is present genome-wide (odds ratio 10.9), not only within the curated panel. Third, the discriminative, coordination and methylation findings were established in GSE65858 and GSE38266, and the malignant-cell localisation in GSE181919 and GSE182227, none of which contributed to panel construction.</w:t>
      </w:r>
    </w:p>
    <w:p>
      <w:pPr>
        <w:pStyle w:val="Heading1"/>
        <w:spacing w:after="140" w:before="280"/>
      </w:pPr>
      <w:r>
        <w:t xml:space="preserve">5. Limitations</w:t>
      </w:r>
    </w:p>
    <w:p>
      <w:pPr>
        <w:spacing w:after="140" w:line="288"/>
      </w:pPr>
      <w:r>
        <w:t xml:space="preserve">This study has several limitations. The TCGA transcriptomic cohort contains only 36 HPV+ tumours, and the single-cell evidence rests on 36 tumours in two cohorts (18 HPV+, 18 HPV−; 35 in the pooled tumour-level model, which required at least 20 malignant cells per tumour), both generated with 3′ droplet-based sequencing, which limits detection of lowly expressed transcripts. Malignant-cell annotations in GSE181919 were taken from the original study, whereas those in GSE182227 were assigned without external ground truth, although the two criteria used were concordant; tumour-level discrimination in GSE182227 was not complete, with two HPV+ tumours within the HPV− range (four-gene meiosis-specific score, AUC = 0.945).</w:t>
      </w:r>
    </w:p>
    <w:p>
      <w:pPr>
        <w:spacing w:after="140" w:line="288"/>
      </w:pPr>
      <w:r>
        <w:t xml:space="preserve">The methylation replication cohort was small (42 samples), with only one locus surviving per-gene Bonferroni correction, so replication rests on effect-size concordance (ρ = 0.688) and the set-level test (P = 6.8 × 10</w:t>
      </w:r>
      <w:r>
        <w:rPr>
          <w:vertAlign w:val="superscript"/>
        </w:rPr>
        <w:t xml:space="preserve">−4</w:t>
      </w:r>
      <w:r>
        <w:t xml:space="preserve">) rather than on individual loci. Evidence implicating demethylation remains correlative; directionality, per-sample association and replication are consistent with it, but causal inference requires demethylating-agent or targeted epigenetic-editing experiments. Gene-level methylation summarised as a single cBioPortal probe per gene is a coarse measure that may obscure CpG-island substructure and allele-specific effects; a single promoter definition was applied to both cohorts for the six core genes, but the panel-wide statistics (18 of 49 hypomethylated genes; concordance over 44 genes) still rest on this gene-level summary, and the core-module re-analysis used GDC-harmonised β values, which give smaller absolute differences. </w:t>
      </w:r>
      <w:r>
        <w:rPr>
          <w:i/>
          <w:iCs/>
        </w:rPr>
        <w:t xml:space="preserve">MEI1</w:t>
      </w:r>
      <w:r>
        <w:t xml:space="preserve"> and </w:t>
      </w:r>
      <w:r>
        <w:rPr>
          <w:i/>
          <w:iCs/>
        </w:rPr>
        <w:t xml:space="preserve">STAG3</w:t>
      </w:r>
      <w:r>
        <w:t xml:space="preserve"> are also expressed in B and plasma cells, and HPV+ tumours are richer in these cells. The four-gene score that excludes them reproduced the bulk discrimination, coherence and methylation results, and adjustment for B-cell and plasma-cell content did not change the core-module methylation effect, but at </w:t>
      </w:r>
      <w:r>
        <w:rPr>
          <w:i/>
          <w:iCs/>
        </w:rPr>
        <w:t xml:space="preserve">MEI1</w:t>
      </w:r>
      <w:r>
        <w:t xml:space="preserve"> about one-sixth of the HPV-associated promoter methylation difference was attributable to this compartment. Expression was measured on different platforms in the discovery (RNA-seq) and validation (microarray) cohorts, so effect sizes are not directly comparable. Two HPV definitions were used within TCGA, RNA-seq-based for the transcriptomic cohort and p16/ISH-based for the panel analyses, which is why the sample counts of these analyses differ; because p16 positivity outside the oropharynx is often unrelated to HPV, the p16-or-ISH rule may misclassify some non-oropharyngeal tumours, although the results were stronger, not weaker, when ISH positivity was required; the oropharynx-restricted analysis included only eight HPV− tumours. DeLong confidence intervals were computed wherever per-sample scores were available; the category-level and single-cell comparator AUCs retain Hanley–McNeil intervals.</w:t>
      </w:r>
    </w:p>
    <w:p>
      <w:pPr>
        <w:spacing w:after="140" w:line="288"/>
      </w:pPr>
      <w:r>
        <w:t xml:space="preserve">Immune-cell fractions were inferred computationally, are relative rather than absolute, are limited to the 22 LM22 populations and were not confirmed at the protein level; the CD8/M2 ratio is an exploratory derived score. Although differential expression was adjusted for primary site in a sensitivity analysis, residual site confounding of the immune estimates cannot be excluded given the oropharyngeal predominance of HPV+ tumours. The survival analyses were univariable, limited to nine candidate genes selected for their HPV association, not adjusted for HPV status, stage, smoking or treatment, and not corrected for multiple testing; they are hypothesis-generating only. The gene panel was defined after the discovery analysis had identified meiosis as the dominant theme, so its overlap with the discovery output (37 of 86 testable genes upregulated) indicates magnitude rather than independent evidence, although the class contrast and all external-cohort findings are unaffected. Finally, all cohorts are retrospective and observational and were drawn predominantly from North American and European populations, so the associations reported cannot be interpreted causally and may not generalise to other populations.</w:t>
      </w:r>
    </w:p>
    <w:p>
      <w:pPr>
        <w:pStyle w:val="Heading1"/>
        <w:spacing w:after="140" w:before="280"/>
      </w:pPr>
      <w:r>
        <w:t xml:space="preserve">6. Conclusions</w:t>
      </w:r>
    </w:p>
    <w:p>
      <w:pPr>
        <w:spacing w:after="140" w:line="288"/>
      </w:pPr>
      <w:r>
        <w:t xml:space="preserve">This study identifies a coordinated meiotic gene programme associated with transcriptionally active HPV-positive head and neck squamous cell carcinoma. The programme is characterised by selective activation of meiotic genes, promoter hypomethylation and predominant expression in malignant epithelial cells. Unlike conventional cancer–testis antigens, the six-gene core module distinguished transcriptionally active HPV-positive tumours from HPV-negative tumours, with consistent findings across independent cohorts. These associations are correlative and are more consistent with a distinct molecular feature of HPV-associated tumours than with nonspecific germ-cell gene derepression; causality was not tested. Further functional studies are warranted to establish the underlying regulatory mechanisms and evaluate the potential diagnostic and biological significance of this programme.</w:t>
      </w:r>
    </w:p>
    <w:p>
      <w:pPr>
        <w:pStyle w:val="Heading1"/>
        <w:spacing w:after="140" w:before="280"/>
      </w:pPr>
      <w:r>
        <w:t xml:space="preserve">Data availability</w:t>
      </w:r>
    </w:p>
    <w:p>
      <w:pPr>
        <w:spacing w:after="140" w:line="288"/>
      </w:pPr>
      <w:r>
        <w:t xml:space="preserve">All data analysed are publicly available. TCGA-HNSC expression, clinical annotation, HPV status and gene-level methylation were obtained through cBioPortal (study hnsc_tcga_pub) and the NCI Genomic Data Commons (probe-level HM450 β values). The independent cohorts are available from the Gene Expression Omnibus under accessions GSE65858, GSE38266, GSE181919 and GSE182227. ABSOLUTE tumour-purity estimates for TCGA were taken from the PanCancer Atlas (Carter et al., 2012 method). TCGA-HNSC STAR gene counts were downloaded from the GDC with TCGAbiolinks (project TCGA-HNSC, workflow STAR - Counts; saved as data_raw/HNSC_data.rds, not deposited because of size), and clinical files with scripts/download_data.py. The GEO series were downloaded into a local DATA/meiotic folder by scripts/meiotic_programme/run_meiotic_analysis.py (GSE181919 is about 1.2 GB). The CIBERSORTx output (Job 14) is archived in the repository. Processed inputs, results tables, figure source panels and all supplementary tables are provided in the study repository (https://github.com/rejoy2004-rgb/TCGA-HNSC-HPV-Transcriptomics); the README gives the run order, and documentation/Canonical_Outputs.md maps every figure and table to its source script.</w:t>
      </w:r>
    </w:p>
    <w:p>
      <w:pPr>
        <w:pStyle w:val="Heading1"/>
        <w:spacing w:after="140" w:before="280"/>
      </w:pPr>
      <w:r>
        <w:t xml:space="preserve">Code availability</w:t>
      </w:r>
    </w:p>
    <w:p>
      <w:pPr>
        <w:spacing w:after="140" w:line="288"/>
      </w:pPr>
      <w:r>
        <w:t xml:space="preserve">The R and Python scripts for the differential expression, enrichment, methylation, deconvolution, confounder, sensitivity and single-cell analyses (scripts/meiotic_programme and scripts/review_analyses), together with the scripts that build the figures, tables and this manuscript, are available at https://github.com/rejoy2004-rgb/TCGA-HNSC-HPV-Transcriptomics.</w:t>
      </w:r>
    </w:p>
    <w:p>
      <w:pPr>
        <w:pStyle w:val="Heading1"/>
        <w:spacing w:after="140" w:before="280"/>
      </w:pPr>
      <w:r>
        <w:t xml:space="preserve">Ethics statement</w:t>
      </w:r>
    </w:p>
    <w:p>
      <w:pPr>
        <w:spacing w:after="140" w:line="288"/>
      </w:pPr>
      <w:r>
        <w:t xml:space="preserve">This study used only publicly available, de-identified data. No new patient samples were collected and no additional ethical approval was required.</w:t>
      </w:r>
    </w:p>
    <w:p>
      <w:pPr>
        <w:pStyle w:val="Heading1"/>
        <w:spacing w:after="140" w:before="280"/>
      </w:pPr>
      <w:r>
        <w:t xml:space="preserve">Author contributions</w:t>
      </w:r>
    </w:p>
    <w:p>
      <w:pPr>
        <w:spacing w:after="140" w:line="288"/>
      </w:pPr>
      <w:r>
        <w:t xml:space="preserve">Suganth Gopinath Sangeetha (SGS): Methodology, Formal analysis, Investigation, Data curation, Visualization, Software, Writing – original draft.</w:t>
      </w:r>
    </w:p>
    <w:p>
      <w:pPr>
        <w:spacing w:after="140" w:line="288"/>
      </w:pPr>
      <w:r>
        <w:t xml:space="preserve">Rejoy Besra (RB): Methodology, Formal analysis, Investigation, Data curation, Visualization, Software, Writing – original draft.</w:t>
      </w:r>
    </w:p>
    <w:p>
      <w:pPr>
        <w:spacing w:after="140" w:line="288"/>
      </w:pPr>
      <w:r>
        <w:t xml:space="preserve">Naisarg Patel (NP): Conceptualization, Supervision, Validation, Writing – review &amp; editing.</w:t>
      </w:r>
    </w:p>
    <w:p>
      <w:pPr>
        <w:spacing w:after="140" w:line="288"/>
      </w:pPr>
      <w:r>
        <w:t xml:space="preserve">Prakash Lingasamy (PL): Investigation, Resources, Writing – review &amp; editing.</w:t>
      </w:r>
    </w:p>
    <w:p>
      <w:pPr>
        <w:spacing w:after="140" w:line="288"/>
      </w:pPr>
      <w:r>
        <w:t xml:space="preserve">Vino Sundararajan (VS): Investigation, Resources, Writing – review &amp; editing.</w:t>
      </w:r>
    </w:p>
    <w:p>
      <w:pPr>
        <w:spacing w:after="140" w:line="288"/>
      </w:pPr>
      <w:r>
        <w:t xml:space="preserve">Sajitha Lulu S. (SL): Investigation, Resources, Writing – review &amp; editing.</w:t>
      </w:r>
    </w:p>
    <w:p>
      <w:pPr>
        <w:spacing w:after="140" w:line="288"/>
      </w:pPr>
      <w:r>
        <w:t xml:space="preserve">Vijayachitra Modhukur (VM): Conceptualization, Funding acquisition, Supervision, Project administration, Writing – review &amp; editing.</w:t>
      </w:r>
    </w:p>
    <w:p>
      <w:pPr>
        <w:pStyle w:val="Heading1"/>
        <w:spacing w:after="140" w:before="280"/>
      </w:pPr>
      <w:r>
        <w:t xml:space="preserve">Funding</w:t>
      </w:r>
    </w:p>
    <w:p>
      <w:pPr>
        <w:spacing w:after="140" w:line="288"/>
      </w:pPr>
      <w:r>
        <w:t xml:space="preserve">No external funding was received for this work.</w:t>
      </w:r>
    </w:p>
    <w:p>
      <w:pPr>
        <w:pStyle w:val="Heading1"/>
        <w:spacing w:after="140" w:before="280"/>
      </w:pPr>
      <w:r>
        <w:t xml:space="preserve">Competing interests</w:t>
      </w:r>
    </w:p>
    <w:p>
      <w:pPr>
        <w:spacing w:after="140" w:line="288"/>
      </w:pPr>
      <w:r>
        <w:t xml:space="preserve">The authors declare no competing interests.</w:t>
      </w:r>
    </w:p>
    <w:p>
      <w:pPr>
        <w:pStyle w:val="Heading1"/>
        <w:spacing w:after="140" w:before="280"/>
      </w:pPr>
      <w:r>
        <w:t xml:space="preserve">Acknowledgements</w:t>
      </w:r>
    </w:p>
    <w:p>
      <w:pPr>
        <w:spacing w:after="140" w:line="288"/>
      </w:pPr>
      <w:r>
        <w:t xml:space="preserve">We thank the TCGA Research Network, the investigators who deposited GSE65858, GSE38266, GSE181919 and GSE182227 in the Gene Expression Omnibus, and the teams behind cBioPortal and the NCI Genomic Data Commons for making these data publicly available.</w:t>
      </w:r>
    </w:p>
    <w:p>
      <w:pPr>
        <w:pStyle w:val="Heading1"/>
        <w:spacing w:after="140" w:before="280"/>
      </w:pPr>
      <w:r>
        <w:t xml:space="preserve">7. References</w:t>
      </w:r>
    </w:p>
    <w:p>
      <w:pPr>
        <w:spacing w:after="80"/>
      </w:pPr>
      <w:r>
        <w:rPr>
          <w:sz w:val="18"/>
          <w:szCs w:val="18"/>
        </w:rPr>
        <w:t xml:space="preserve">1. Sung H, Ferlay J, Siegel RL, et al. Global cancer statistics 2020: GLOBOCAN estimates of incidence and mortality worldwide for 36 cancers in 185 countries. </w:t>
      </w:r>
      <w:r>
        <w:rPr>
          <w:i/>
          <w:iCs/>
          <w:sz w:val="18"/>
          <w:szCs w:val="18"/>
        </w:rPr>
        <w:t xml:space="preserve">CA Cancer J Clin</w:t>
      </w:r>
      <w:r>
        <w:rPr>
          <w:sz w:val="18"/>
          <w:szCs w:val="18"/>
        </w:rPr>
        <w:t xml:space="preserve">. 2021;71:209–249. https://doi.org/10.3322/caac.21660</w:t>
      </w:r>
    </w:p>
    <w:p>
      <w:pPr>
        <w:spacing w:after="80"/>
      </w:pPr>
      <w:r>
        <w:rPr>
          <w:sz w:val="18"/>
          <w:szCs w:val="18"/>
        </w:rPr>
        <w:t xml:space="preserve">2. Chaturvedi AK, Engels EA, Pfeiffer RM, et al. Human papillomavirus and rising oropharyngeal cancer incidence in the United States. </w:t>
      </w:r>
      <w:r>
        <w:rPr>
          <w:i/>
          <w:iCs/>
          <w:sz w:val="18"/>
          <w:szCs w:val="18"/>
        </w:rPr>
        <w:t xml:space="preserve">J Clin Oncol</w:t>
      </w:r>
      <w:r>
        <w:rPr>
          <w:sz w:val="18"/>
          <w:szCs w:val="18"/>
        </w:rPr>
        <w:t xml:space="preserve">. 2011;29:4294–301. https://doi.org/10.1200/JCO.2011.36.4596</w:t>
      </w:r>
    </w:p>
    <w:p>
      <w:pPr>
        <w:spacing w:after="80"/>
      </w:pPr>
      <w:r>
        <w:rPr>
          <w:sz w:val="18"/>
          <w:szCs w:val="18"/>
        </w:rPr>
        <w:t xml:space="preserve">3. Cancer Genome Atlas Network. Comprehensive genomic characterization of head and neck squamous cell carcinomas. </w:t>
      </w:r>
      <w:r>
        <w:rPr>
          <w:i/>
          <w:iCs/>
          <w:sz w:val="18"/>
          <w:szCs w:val="18"/>
        </w:rPr>
        <w:t xml:space="preserve">Nature</w:t>
      </w:r>
      <w:r>
        <w:rPr>
          <w:sz w:val="18"/>
          <w:szCs w:val="18"/>
        </w:rPr>
        <w:t xml:space="preserve">. 2015;517:576–82. https://doi.org/10.1038/nature14129</w:t>
      </w:r>
    </w:p>
    <w:p>
      <w:pPr>
        <w:spacing w:after="80"/>
      </w:pPr>
      <w:r>
        <w:rPr>
          <w:sz w:val="18"/>
          <w:szCs w:val="18"/>
        </w:rPr>
        <w:t xml:space="preserve">4. Ang KK, Harris J, Wheeler R, et al. Human papillomavirus and survival of patients with oropharyngeal cancer. </w:t>
      </w:r>
      <w:r>
        <w:rPr>
          <w:i/>
          <w:iCs/>
          <w:sz w:val="18"/>
          <w:szCs w:val="18"/>
        </w:rPr>
        <w:t xml:space="preserve">N Engl J Med</w:t>
      </w:r>
      <w:r>
        <w:rPr>
          <w:sz w:val="18"/>
          <w:szCs w:val="18"/>
        </w:rPr>
        <w:t xml:space="preserve">. 2010;363:24–35. https://doi.org/10.1056/NEJMoa0912217</w:t>
      </w:r>
    </w:p>
    <w:p>
      <w:pPr>
        <w:spacing w:after="80"/>
      </w:pPr>
      <w:r>
        <w:rPr>
          <w:sz w:val="18"/>
          <w:szCs w:val="18"/>
        </w:rPr>
        <w:t xml:space="preserve">5. Leemans CR, Snijders PJF, Brakenhoff RH. The molecular landscape of head and neck cancer. </w:t>
      </w:r>
      <w:r>
        <w:rPr>
          <w:i/>
          <w:iCs/>
          <w:sz w:val="18"/>
          <w:szCs w:val="18"/>
        </w:rPr>
        <w:t xml:space="preserve">Nat Rev Cancer</w:t>
      </w:r>
      <w:r>
        <w:rPr>
          <w:sz w:val="18"/>
          <w:szCs w:val="18"/>
        </w:rPr>
        <w:t xml:space="preserve">. 2018;18:269–282. https://doi.org/10.1038/nrc.2018.11</w:t>
      </w:r>
    </w:p>
    <w:p>
      <w:pPr>
        <w:spacing w:after="80"/>
      </w:pPr>
      <w:r>
        <w:rPr>
          <w:sz w:val="18"/>
          <w:szCs w:val="18"/>
        </w:rPr>
        <w:t xml:space="preserve">6. Lechner M, Liu J, Masterson L, Fenton TR. HPV-associated oropharyngeal cancer: epidemiology, molecular biology and clinical management. </w:t>
      </w:r>
      <w:r>
        <w:rPr>
          <w:i/>
          <w:iCs/>
          <w:sz w:val="18"/>
          <w:szCs w:val="18"/>
        </w:rPr>
        <w:t xml:space="preserve">Nat Rev Clin Oncol</w:t>
      </w:r>
      <w:r>
        <w:rPr>
          <w:sz w:val="18"/>
          <w:szCs w:val="18"/>
        </w:rPr>
        <w:t xml:space="preserve">. 2022;19:306–327. https://doi.org/10.1038/s41571-022-00603-7</w:t>
      </w:r>
    </w:p>
    <w:p>
      <w:pPr>
        <w:spacing w:after="80"/>
      </w:pPr>
      <w:r>
        <w:rPr>
          <w:sz w:val="18"/>
          <w:szCs w:val="18"/>
        </w:rPr>
        <w:t xml:space="preserve">7. Moody CA, Laimins LA. Human papillomavirus oncoproteins: pathways to transformation. </w:t>
      </w:r>
      <w:r>
        <w:rPr>
          <w:i/>
          <w:iCs/>
          <w:sz w:val="18"/>
          <w:szCs w:val="18"/>
        </w:rPr>
        <w:t xml:space="preserve">Nat Rev Cancer</w:t>
      </w:r>
      <w:r>
        <w:rPr>
          <w:sz w:val="18"/>
          <w:szCs w:val="18"/>
        </w:rPr>
        <w:t xml:space="preserve">. 2010;10:550–60. https://doi.org/10.1038/nrc2886</w:t>
      </w:r>
    </w:p>
    <w:p>
      <w:pPr>
        <w:spacing w:after="80"/>
      </w:pPr>
      <w:r>
        <w:rPr>
          <w:sz w:val="18"/>
          <w:szCs w:val="18"/>
        </w:rPr>
        <w:t xml:space="preserve">8. Degli Esposti D, Sklias A, Lima SC, et al. Unique DNA methylation signature in HPV-positive head and neck squamous cell carcinomas. </w:t>
      </w:r>
      <w:r>
        <w:rPr>
          <w:i/>
          <w:iCs/>
          <w:sz w:val="18"/>
          <w:szCs w:val="18"/>
        </w:rPr>
        <w:t xml:space="preserve">Genome Med</w:t>
      </w:r>
      <w:r>
        <w:rPr>
          <w:sz w:val="18"/>
          <w:szCs w:val="18"/>
        </w:rPr>
        <w:t xml:space="preserve">. 2017;9:33. https://doi.org/10.1186/s13073-017-0419-z</w:t>
      </w:r>
    </w:p>
    <w:p>
      <w:pPr>
        <w:spacing w:after="80"/>
      </w:pPr>
      <w:r>
        <w:rPr>
          <w:sz w:val="18"/>
          <w:szCs w:val="18"/>
        </w:rPr>
        <w:t xml:space="preserve">9. Chalertpet K, Pakdeechaidan W, Patel V, Mutirangura A, Yanatatsaneejit P. Human papillomavirus type 16 E7 oncoprotein mediates CCNA1 promoter methylation. </w:t>
      </w:r>
      <w:r>
        <w:rPr>
          <w:i/>
          <w:iCs/>
          <w:sz w:val="18"/>
          <w:szCs w:val="18"/>
        </w:rPr>
        <w:t xml:space="preserve">Cancer Sci</w:t>
      </w:r>
      <w:r>
        <w:rPr>
          <w:sz w:val="18"/>
          <w:szCs w:val="18"/>
        </w:rPr>
        <w:t xml:space="preserve">. 2015;106:1333–40. https://doi.org/10.1111/cas.12761</w:t>
      </w:r>
    </w:p>
    <w:p>
      <w:pPr>
        <w:spacing w:after="80"/>
      </w:pPr>
      <w:r>
        <w:rPr>
          <w:sz w:val="18"/>
          <w:szCs w:val="18"/>
        </w:rPr>
        <w:t xml:space="preserve">10. Lechner M, Fenton T, West J, et al. Identification and functional validation of HPV-mediated hypermethylation in head and neck squamous cell carcinoma. </w:t>
      </w:r>
      <w:r>
        <w:rPr>
          <w:i/>
          <w:iCs/>
          <w:sz w:val="18"/>
          <w:szCs w:val="18"/>
        </w:rPr>
        <w:t xml:space="preserve">Genome Med</w:t>
      </w:r>
      <w:r>
        <w:rPr>
          <w:sz w:val="18"/>
          <w:szCs w:val="18"/>
        </w:rPr>
        <w:t xml:space="preserve">. 2013;5:15. https://doi.org/10.1186/gm419</w:t>
      </w:r>
    </w:p>
    <w:p>
      <w:pPr>
        <w:spacing w:after="80"/>
      </w:pPr>
      <w:r>
        <w:rPr>
          <w:sz w:val="18"/>
          <w:szCs w:val="18"/>
        </w:rPr>
        <w:t xml:space="preserve">11. Anayannis NV, Schlecht NF, Belbin TJ. Epigenetic mechanisms of human papillomavirus-associated head and neck cancer. </w:t>
      </w:r>
      <w:r>
        <w:rPr>
          <w:i/>
          <w:iCs/>
          <w:sz w:val="18"/>
          <w:szCs w:val="18"/>
        </w:rPr>
        <w:t xml:space="preserve">Arch Pathol Lab Med</w:t>
      </w:r>
      <w:r>
        <w:rPr>
          <w:sz w:val="18"/>
          <w:szCs w:val="18"/>
        </w:rPr>
        <w:t xml:space="preserve">. 2015;139:1373–8. https://doi.org/10.5858/arpa.2014-0554-RA</w:t>
      </w:r>
    </w:p>
    <w:p>
      <w:pPr>
        <w:spacing w:after="80"/>
      </w:pPr>
      <w:r>
        <w:rPr>
          <w:sz w:val="18"/>
          <w:szCs w:val="18"/>
        </w:rPr>
        <w:t xml:space="preserve">12. Xu Y, Wang Z, Wei P, et al. Hypermethylation of nc886 in HPV-positive oropharyngeal cancer and its clinical implications: an epigenome-wide association study. </w:t>
      </w:r>
      <w:r>
        <w:rPr>
          <w:i/>
          <w:iCs/>
          <w:sz w:val="18"/>
          <w:szCs w:val="18"/>
        </w:rPr>
        <w:t xml:space="preserve">Mol Ther Nucleic Acids</w:t>
      </w:r>
      <w:r>
        <w:rPr>
          <w:sz w:val="18"/>
          <w:szCs w:val="18"/>
        </w:rPr>
        <w:t xml:space="preserve">. 2022;30:596–605. https://doi.org/10.1016/j.omtn.2022.11.012</w:t>
      </w:r>
    </w:p>
    <w:p>
      <w:pPr>
        <w:spacing w:after="80"/>
      </w:pPr>
      <w:r>
        <w:rPr>
          <w:sz w:val="18"/>
          <w:szCs w:val="18"/>
        </w:rPr>
        <w:t xml:space="preserve">13. Parfenov M, Pedamallu CS, Gehlenborg N, et al. Characterization of HPV and host genome interactions in primary head and neck cancers. </w:t>
      </w:r>
      <w:r>
        <w:rPr>
          <w:i/>
          <w:iCs/>
          <w:sz w:val="18"/>
          <w:szCs w:val="18"/>
        </w:rPr>
        <w:t xml:space="preserve">Proc Natl Acad Sci U S A</w:t>
      </w:r>
      <w:r>
        <w:rPr>
          <w:sz w:val="18"/>
          <w:szCs w:val="18"/>
        </w:rPr>
        <w:t xml:space="preserve">. 2014;111:15544–9. https://doi.org/10.1073/pnas.1416074111</w:t>
      </w:r>
    </w:p>
    <w:p>
      <w:pPr>
        <w:spacing w:after="80"/>
      </w:pPr>
      <w:r>
        <w:rPr>
          <w:sz w:val="18"/>
          <w:szCs w:val="18"/>
        </w:rPr>
        <w:t xml:space="preserve">14. Wichmann G, Rosolowski M, Krohn K, et al. The role of HPV RNA transcription, immune response-related gene expression and disruptive TP53 mutations in diagnostic and prognostic profiling of head and neck cancer. </w:t>
      </w:r>
      <w:r>
        <w:rPr>
          <w:i/>
          <w:iCs/>
          <w:sz w:val="18"/>
          <w:szCs w:val="18"/>
        </w:rPr>
        <w:t xml:space="preserve">Int J Cancer</w:t>
      </w:r>
      <w:r>
        <w:rPr>
          <w:sz w:val="18"/>
          <w:szCs w:val="18"/>
        </w:rPr>
        <w:t xml:space="preserve">. 2015;137:2846–57. https://doi.org/10.1002/ijc.29649</w:t>
      </w:r>
    </w:p>
    <w:p>
      <w:pPr>
        <w:spacing w:after="80"/>
      </w:pPr>
      <w:r>
        <w:rPr>
          <w:sz w:val="18"/>
          <w:szCs w:val="18"/>
        </w:rPr>
        <w:t xml:space="preserve">15. Zhang C, Kawakami T, Okada Y, Okamoto K. Distinctive epigenetic phenotype of cancer testis antigen genes among seminomatous and nonseminomatous testicular germ-cell tumors. </w:t>
      </w:r>
      <w:r>
        <w:rPr>
          <w:i/>
          <w:iCs/>
          <w:sz w:val="18"/>
          <w:szCs w:val="18"/>
        </w:rPr>
        <w:t xml:space="preserve">Genes Chromosomes Cancer</w:t>
      </w:r>
      <w:r>
        <w:rPr>
          <w:sz w:val="18"/>
          <w:szCs w:val="18"/>
        </w:rPr>
        <w:t xml:space="preserve">. 2005;43:104–12. https://doi.org/10.1002/gcc.20160</w:t>
      </w:r>
    </w:p>
    <w:p>
      <w:pPr>
        <w:spacing w:after="80"/>
      </w:pPr>
      <w:r>
        <w:rPr>
          <w:sz w:val="18"/>
          <w:szCs w:val="18"/>
        </w:rPr>
        <w:t xml:space="preserve">16. Almeida LG, Sakabe NJ, deOliveira AR, et al. CTdatabase: a knowledge-base of high-throughput and curated data on cancer-testis antigens. </w:t>
      </w:r>
      <w:r>
        <w:rPr>
          <w:i/>
          <w:iCs/>
          <w:sz w:val="18"/>
          <w:szCs w:val="18"/>
        </w:rPr>
        <w:t xml:space="preserve">Nucleic Acids Res</w:t>
      </w:r>
      <w:r>
        <w:rPr>
          <w:sz w:val="18"/>
          <w:szCs w:val="18"/>
        </w:rPr>
        <w:t xml:space="preserve">. 2009;37:D816–9. https://doi.org/10.1093/nar/gkn673</w:t>
      </w:r>
    </w:p>
    <w:p>
      <w:pPr>
        <w:spacing w:after="80"/>
      </w:pPr>
      <w:r>
        <w:rPr>
          <w:sz w:val="18"/>
          <w:szCs w:val="18"/>
        </w:rPr>
        <w:t xml:space="preserve">17. Feinberg AP, Vogelstein B. Hypomethylation distinguishes genes of some human cancers from their normal counterparts. </w:t>
      </w:r>
      <w:r>
        <w:rPr>
          <w:i/>
          <w:iCs/>
          <w:sz w:val="18"/>
          <w:szCs w:val="18"/>
        </w:rPr>
        <w:t xml:space="preserve">Nature</w:t>
      </w:r>
      <w:r>
        <w:rPr>
          <w:sz w:val="18"/>
          <w:szCs w:val="18"/>
        </w:rPr>
        <w:t xml:space="preserve">. 1983;301:89–92. https://doi.org/10.1038/301089a0</w:t>
      </w:r>
    </w:p>
    <w:p>
      <w:pPr>
        <w:spacing w:after="80"/>
      </w:pPr>
      <w:r>
        <w:rPr>
          <w:sz w:val="18"/>
          <w:szCs w:val="18"/>
        </w:rPr>
        <w:t xml:space="preserve">18. Cannuyer J, Loriot A, Parvizi GK, De Smet C. Epigenetic hierarchy within the MAGEA1 cancer-germline gene: promoter DNA methylation dictates local histone modifications. </w:t>
      </w:r>
      <w:r>
        <w:rPr>
          <w:i/>
          <w:iCs/>
          <w:sz w:val="18"/>
          <w:szCs w:val="18"/>
        </w:rPr>
        <w:t xml:space="preserve">PLoS One</w:t>
      </w:r>
      <w:r>
        <w:rPr>
          <w:sz w:val="18"/>
          <w:szCs w:val="18"/>
        </w:rPr>
        <w:t xml:space="preserve">. 2013;8:e58743. https://doi.org/10.1371/journal.pone.0058743</w:t>
      </w:r>
    </w:p>
    <w:p>
      <w:pPr>
        <w:spacing w:after="80"/>
      </w:pPr>
      <w:r>
        <w:rPr>
          <w:sz w:val="18"/>
          <w:szCs w:val="18"/>
        </w:rPr>
        <w:t xml:space="preserve">19. Wei X, Chen F, Xin K, et al. Cancer-testis antigen peptide vaccine for cancer immunotherapy: progress and prospects. </w:t>
      </w:r>
      <w:r>
        <w:rPr>
          <w:i/>
          <w:iCs/>
          <w:sz w:val="18"/>
          <w:szCs w:val="18"/>
        </w:rPr>
        <w:t xml:space="preserve">Transl Oncol</w:t>
      </w:r>
      <w:r>
        <w:rPr>
          <w:sz w:val="18"/>
          <w:szCs w:val="18"/>
        </w:rPr>
        <w:t xml:space="preserve">. 2019;12:733–738. https://doi.org/10.1016/j.tranon.2019.02.008</w:t>
      </w:r>
    </w:p>
    <w:p>
      <w:pPr>
        <w:spacing w:after="80"/>
      </w:pPr>
      <w:r>
        <w:rPr>
          <w:sz w:val="18"/>
          <w:szCs w:val="18"/>
        </w:rPr>
        <w:t xml:space="preserve">20. Chiappinelli KB, Zahnow CA, Ahuja N, Baylin SB. Combining epigenetic and immunotherapy to combat cancer. </w:t>
      </w:r>
      <w:r>
        <w:rPr>
          <w:i/>
          <w:iCs/>
          <w:sz w:val="18"/>
          <w:szCs w:val="18"/>
        </w:rPr>
        <w:t xml:space="preserve">Cancer Res</w:t>
      </w:r>
      <w:r>
        <w:rPr>
          <w:sz w:val="18"/>
          <w:szCs w:val="18"/>
        </w:rPr>
        <w:t xml:space="preserve">. 2016;76:1683–9. https://doi.org/10.1158/0008-5472.CAN-15-2125</w:t>
      </w:r>
    </w:p>
    <w:p>
      <w:pPr>
        <w:spacing w:after="80"/>
      </w:pPr>
      <w:r>
        <w:rPr>
          <w:sz w:val="18"/>
          <w:szCs w:val="18"/>
        </w:rPr>
        <w:t xml:space="preserve">21. Ferris RL, Blumenschein G, Fayette J, et al. Nivolumab for recurrent squamous-cell carcinoma of the head and neck. </w:t>
      </w:r>
      <w:r>
        <w:rPr>
          <w:i/>
          <w:iCs/>
          <w:sz w:val="18"/>
          <w:szCs w:val="18"/>
        </w:rPr>
        <w:t xml:space="preserve">N Engl J Med</w:t>
      </w:r>
      <w:r>
        <w:rPr>
          <w:sz w:val="18"/>
          <w:szCs w:val="18"/>
        </w:rPr>
        <w:t xml:space="preserve">. 2016;375:1856–1867. https://doi.org/10.1056/NEJMoa1602252</w:t>
      </w:r>
    </w:p>
    <w:p>
      <w:pPr>
        <w:spacing w:after="80"/>
      </w:pPr>
      <w:r>
        <w:rPr>
          <w:sz w:val="18"/>
          <w:szCs w:val="18"/>
        </w:rPr>
        <w:t xml:space="preserve">22. Boukaba A, Liu J, Ward C, et al. Ectopic expression of meiotic cohesin generates chromosome instability in cancer cell line. </w:t>
      </w:r>
      <w:r>
        <w:rPr>
          <w:i/>
          <w:iCs/>
          <w:sz w:val="18"/>
          <w:szCs w:val="18"/>
        </w:rPr>
        <w:t xml:space="preserve">Proc Natl Acad Sci U S A</w:t>
      </w:r>
      <w:r>
        <w:rPr>
          <w:sz w:val="18"/>
          <w:szCs w:val="18"/>
        </w:rPr>
        <w:t xml:space="preserve">. 2022;119:e2204071119. https://doi.org/10.1073/pnas.2204071119</w:t>
      </w:r>
    </w:p>
    <w:p>
      <w:pPr>
        <w:spacing w:after="80"/>
      </w:pPr>
      <w:r>
        <w:rPr>
          <w:sz w:val="18"/>
          <w:szCs w:val="18"/>
        </w:rPr>
        <w:t xml:space="preserve">23. Watkins J, Weekes D, Shah V, et al. Genomic complexity profiling reveals that HORMAD1 overexpression contributes to homologous recombination deficiency in triple-negative breast cancers. </w:t>
      </w:r>
      <w:r>
        <w:rPr>
          <w:i/>
          <w:iCs/>
          <w:sz w:val="18"/>
          <w:szCs w:val="18"/>
        </w:rPr>
        <w:t xml:space="preserve">Cancer Discov</w:t>
      </w:r>
      <w:r>
        <w:rPr>
          <w:sz w:val="18"/>
          <w:szCs w:val="18"/>
        </w:rPr>
        <w:t xml:space="preserve">. 2015;5:488–505. https://doi.org/10.1158/2159-8290.CD-14-1092</w:t>
      </w:r>
    </w:p>
    <w:p>
      <w:pPr>
        <w:spacing w:after="80"/>
      </w:pPr>
      <w:r>
        <w:rPr>
          <w:sz w:val="18"/>
          <w:szCs w:val="18"/>
        </w:rPr>
        <w:t xml:space="preserve">24. Gantchev J, Messina-Pacheco J, Martínez Villarreal A, et al. Ectopically expressed meiosis-specific cancer testis antigen HORMAD1 promotes genomic instability in squamous cell carcinomas. </w:t>
      </w:r>
      <w:r>
        <w:rPr>
          <w:i/>
          <w:iCs/>
          <w:sz w:val="18"/>
          <w:szCs w:val="18"/>
        </w:rPr>
        <w:t xml:space="preserve">Cells</w:t>
      </w:r>
      <w:r>
        <w:rPr>
          <w:sz w:val="18"/>
          <w:szCs w:val="18"/>
        </w:rPr>
        <w:t xml:space="preserve">. 2023;12:1627. https://doi.org/10.3390/cells12121627</w:t>
      </w:r>
    </w:p>
    <w:p>
      <w:pPr>
        <w:spacing w:after="80"/>
      </w:pPr>
      <w:r>
        <w:rPr>
          <w:sz w:val="18"/>
          <w:szCs w:val="18"/>
        </w:rPr>
        <w:t xml:space="preserve">25. Herrera LR, Johnson RA, McGlynn K, et al. The cancer testes antigen, HORMAD1, limits genomic instability in cancer cells by protecting stalled replication forks. </w:t>
      </w:r>
      <w:r>
        <w:rPr>
          <w:i/>
          <w:iCs/>
          <w:sz w:val="18"/>
          <w:szCs w:val="18"/>
        </w:rPr>
        <w:t xml:space="preserve">J Biol Chem</w:t>
      </w:r>
      <w:r>
        <w:rPr>
          <w:sz w:val="18"/>
          <w:szCs w:val="18"/>
        </w:rPr>
        <w:t xml:space="preserve">. 2023;299:105348. https://doi.org/10.1016/j.jbc.2023.105348</w:t>
      </w:r>
    </w:p>
    <w:p>
      <w:pPr>
        <w:spacing w:after="80"/>
      </w:pPr>
      <w:r>
        <w:rPr>
          <w:sz w:val="18"/>
          <w:szCs w:val="18"/>
        </w:rPr>
        <w:t xml:space="preserve">26. Gantchev J, Martínez Villarreal A, Gunn S, et al. The ectopic expression of meiCT genes promotes meiomitosis and may facilitate carcinogenesis. </w:t>
      </w:r>
      <w:r>
        <w:rPr>
          <w:i/>
          <w:iCs/>
          <w:sz w:val="18"/>
          <w:szCs w:val="18"/>
        </w:rPr>
        <w:t xml:space="preserve">Cell Cycle</w:t>
      </w:r>
      <w:r>
        <w:rPr>
          <w:sz w:val="18"/>
          <w:szCs w:val="18"/>
        </w:rPr>
        <w:t xml:space="preserve">. 2020;19:837–854. https://doi.org/10.1080/15384101.2020.1743902</w:t>
      </w:r>
    </w:p>
    <w:p>
      <w:pPr>
        <w:spacing w:after="80"/>
      </w:pPr>
      <w:r>
        <w:rPr>
          <w:sz w:val="18"/>
          <w:szCs w:val="18"/>
        </w:rPr>
        <w:t xml:space="preserve">27. Pyeon D, Newton MA, Lambert PF, et al. Fundamental differences in cell cycle deregulation in human papillomavirus-positive and human papillomavirus-negative head/neck and cervical cancers. </w:t>
      </w:r>
      <w:r>
        <w:rPr>
          <w:i/>
          <w:iCs/>
          <w:sz w:val="18"/>
          <w:szCs w:val="18"/>
        </w:rPr>
        <w:t xml:space="preserve">Cancer Res</w:t>
      </w:r>
      <w:r>
        <w:rPr>
          <w:sz w:val="18"/>
          <w:szCs w:val="18"/>
        </w:rPr>
        <w:t xml:space="preserve">. 2007;67:4605–4619. https://doi.org/10.1158/0008-5472.CAN-06-3619</w:t>
      </w:r>
    </w:p>
    <w:p>
      <w:pPr>
        <w:spacing w:after="80"/>
      </w:pPr>
      <w:r>
        <w:rPr>
          <w:sz w:val="18"/>
          <w:szCs w:val="18"/>
        </w:rPr>
        <w:t xml:space="preserve">28. Masterson L, Sorgeloos F, Winder D, et al. Deregulation of SYCP2 predicts early stage human papillomavirus-positive oropharyngeal carcinoma: a prospective whole transcriptome analysis. </w:t>
      </w:r>
      <w:r>
        <w:rPr>
          <w:i/>
          <w:iCs/>
          <w:sz w:val="18"/>
          <w:szCs w:val="18"/>
        </w:rPr>
        <w:t xml:space="preserve">Cancer Sci</w:t>
      </w:r>
      <w:r>
        <w:rPr>
          <w:sz w:val="18"/>
          <w:szCs w:val="18"/>
        </w:rPr>
        <w:t xml:space="preserve">. 2015;106:1568–1575. https://doi.org/10.1111/cas.12809</w:t>
      </w:r>
    </w:p>
    <w:p>
      <w:pPr>
        <w:spacing w:after="80"/>
      </w:pPr>
      <w:r>
        <w:rPr>
          <w:sz w:val="18"/>
          <w:szCs w:val="18"/>
        </w:rPr>
        <w:t xml:space="preserve">29. Hinić S, Rich A, Anayannis NV, Cabarcas-Petroski S, Schramm L, Meneses PI. Gene expression and DNA methylation in human papillomavirus positive and negative head and neck squamous cell carcinomas. </w:t>
      </w:r>
      <w:r>
        <w:rPr>
          <w:i/>
          <w:iCs/>
          <w:sz w:val="18"/>
          <w:szCs w:val="18"/>
        </w:rPr>
        <w:t xml:space="preserve">Int J Mol Sci</w:t>
      </w:r>
      <w:r>
        <w:rPr>
          <w:sz w:val="18"/>
          <w:szCs w:val="18"/>
        </w:rPr>
        <w:t xml:space="preserve">. 2022;23:10967. https://doi.org/10.3390/ijms231810967</w:t>
      </w:r>
    </w:p>
    <w:p>
      <w:pPr>
        <w:spacing w:after="80"/>
      </w:pPr>
      <w:r>
        <w:rPr>
          <w:sz w:val="18"/>
          <w:szCs w:val="18"/>
        </w:rPr>
        <w:t xml:space="preserve">30. Cerami E, Gao J, Dogrusoz U, et al. The cBio cancer genomics portal: an open platform for exploring multidimensional cancer genomics data. </w:t>
      </w:r>
      <w:r>
        <w:rPr>
          <w:i/>
          <w:iCs/>
          <w:sz w:val="18"/>
          <w:szCs w:val="18"/>
        </w:rPr>
        <w:t xml:space="preserve">Cancer Discov</w:t>
      </w:r>
      <w:r>
        <w:rPr>
          <w:sz w:val="18"/>
          <w:szCs w:val="18"/>
        </w:rPr>
        <w:t xml:space="preserve">. 2012;2:401–4. https://doi.org/10.1158/2159-8290.CD-12-0095</w:t>
      </w:r>
    </w:p>
    <w:p>
      <w:pPr>
        <w:spacing w:after="80"/>
      </w:pPr>
      <w:r>
        <w:rPr>
          <w:sz w:val="18"/>
          <w:szCs w:val="18"/>
        </w:rPr>
        <w:t xml:space="preserve">31. Gao J, Aksoy BA, Dogrusoz U, et al. Integrative analysis of complex cancer genomics and clinical profiles using the cBioPortal. </w:t>
      </w:r>
      <w:r>
        <w:rPr>
          <w:i/>
          <w:iCs/>
          <w:sz w:val="18"/>
          <w:szCs w:val="18"/>
        </w:rPr>
        <w:t xml:space="preserve">Sci Signal</w:t>
      </w:r>
      <w:r>
        <w:rPr>
          <w:sz w:val="18"/>
          <w:szCs w:val="18"/>
        </w:rPr>
        <w:t xml:space="preserve">. 2013;6:pl1. https://doi.org/10.1126/scisignal.2004088</w:t>
      </w:r>
    </w:p>
    <w:p>
      <w:pPr>
        <w:spacing w:after="80"/>
      </w:pPr>
      <w:r>
        <w:rPr>
          <w:sz w:val="18"/>
          <w:szCs w:val="18"/>
        </w:rPr>
        <w:t xml:space="preserve">32. Choi JH, Lee BS, Jang JY, et al. Single-cell transcriptome profiling of the stepwise progression of head and neck cancer. </w:t>
      </w:r>
      <w:r>
        <w:rPr>
          <w:i/>
          <w:iCs/>
          <w:sz w:val="18"/>
          <w:szCs w:val="18"/>
        </w:rPr>
        <w:t xml:space="preserve">Nat Commun</w:t>
      </w:r>
      <w:r>
        <w:rPr>
          <w:sz w:val="18"/>
          <w:szCs w:val="18"/>
        </w:rPr>
        <w:t xml:space="preserve">. 2023;14:1055. https://doi.org/10.1038/s41467-023-36691-x</w:t>
      </w:r>
    </w:p>
    <w:p>
      <w:pPr>
        <w:spacing w:after="80"/>
      </w:pPr>
      <w:r>
        <w:rPr>
          <w:sz w:val="18"/>
          <w:szCs w:val="18"/>
        </w:rPr>
        <w:t xml:space="preserve">33. Puram SV, Mints M, Pal A, et al. Cellular states are coupled to genomic and viral heterogeneity in HPV-related oropharyngeal carcinoma. </w:t>
      </w:r>
      <w:r>
        <w:rPr>
          <w:i/>
          <w:iCs/>
          <w:sz w:val="18"/>
          <w:szCs w:val="18"/>
        </w:rPr>
        <w:t xml:space="preserve">Nat Genet</w:t>
      </w:r>
      <w:r>
        <w:rPr>
          <w:sz w:val="18"/>
          <w:szCs w:val="18"/>
        </w:rPr>
        <w:t xml:space="preserve">. 2023;55:640–650. https://doi.org/10.1038/s41588-023-01357-3</w:t>
      </w:r>
    </w:p>
    <w:p>
      <w:pPr>
        <w:spacing w:after="80"/>
      </w:pPr>
      <w:r>
        <w:rPr>
          <w:sz w:val="18"/>
          <w:szCs w:val="18"/>
        </w:rPr>
        <w:t xml:space="preserve">34. Love MI, Huber W, Anders S. Moderated estimation of fold change and dispersion for RNA-seq data with DESeq2. </w:t>
      </w:r>
      <w:r>
        <w:rPr>
          <w:i/>
          <w:iCs/>
          <w:sz w:val="18"/>
          <w:szCs w:val="18"/>
        </w:rPr>
        <w:t xml:space="preserve">Genome Biol</w:t>
      </w:r>
      <w:r>
        <w:rPr>
          <w:sz w:val="18"/>
          <w:szCs w:val="18"/>
        </w:rPr>
        <w:t xml:space="preserve">. 2014;15:550. https://doi.org/10.1186/s13059-014-0550-8</w:t>
      </w:r>
    </w:p>
    <w:p>
      <w:pPr>
        <w:spacing w:after="80"/>
      </w:pPr>
      <w:r>
        <w:rPr>
          <w:sz w:val="18"/>
          <w:szCs w:val="18"/>
        </w:rPr>
        <w:t xml:space="preserve">35. Yu G, Wang LG, Han Y, He QY. clusterProfiler: an R package for comparing biological themes among gene clusters. </w:t>
      </w:r>
      <w:r>
        <w:rPr>
          <w:i/>
          <w:iCs/>
          <w:sz w:val="18"/>
          <w:szCs w:val="18"/>
        </w:rPr>
        <w:t xml:space="preserve">OMICS</w:t>
      </w:r>
      <w:r>
        <w:rPr>
          <w:sz w:val="18"/>
          <w:szCs w:val="18"/>
        </w:rPr>
        <w:t xml:space="preserve">. 2012;16:284–287. https://doi.org/10.1089/omi.2011.0118</w:t>
      </w:r>
    </w:p>
    <w:p>
      <w:pPr>
        <w:spacing w:after="80"/>
      </w:pPr>
      <w:r>
        <w:rPr>
          <w:sz w:val="18"/>
          <w:szCs w:val="18"/>
        </w:rPr>
        <w:t xml:space="preserve">36. Subramanian A, Tamayo P, Mootha VK, et al. Gene set enrichment analysis: a knowledge-based approach for interpreting genome-wide expression profiles. </w:t>
      </w:r>
      <w:r>
        <w:rPr>
          <w:i/>
          <w:iCs/>
          <w:sz w:val="18"/>
          <w:szCs w:val="18"/>
        </w:rPr>
        <w:t xml:space="preserve">Proc Natl Acad Sci U S A</w:t>
      </w:r>
      <w:r>
        <w:rPr>
          <w:sz w:val="18"/>
          <w:szCs w:val="18"/>
        </w:rPr>
        <w:t xml:space="preserve">. 2005;102:15545–15550. https://doi.org/10.1073/pnas.0506580102</w:t>
      </w:r>
    </w:p>
    <w:p>
      <w:pPr>
        <w:spacing w:after="80"/>
      </w:pPr>
      <w:r>
        <w:rPr>
          <w:sz w:val="18"/>
          <w:szCs w:val="18"/>
        </w:rPr>
        <w:t xml:space="preserve">37. Zhou W, Triche TJ, Laird PW, Shen H. SeSAMe: reducing artifactual detection of DNA methylation by Infinium BeadChips in genomic deletions. </w:t>
      </w:r>
      <w:r>
        <w:rPr>
          <w:i/>
          <w:iCs/>
          <w:sz w:val="18"/>
          <w:szCs w:val="18"/>
        </w:rPr>
        <w:t xml:space="preserve">Nucleic Acids Res</w:t>
      </w:r>
      <w:r>
        <w:rPr>
          <w:sz w:val="18"/>
          <w:szCs w:val="18"/>
        </w:rPr>
        <w:t xml:space="preserve">. 2018;46:e123. https://doi.org/10.1093/nar/gky691</w:t>
      </w:r>
    </w:p>
    <w:p>
      <w:pPr>
        <w:spacing w:after="80"/>
      </w:pPr>
      <w:r>
        <w:rPr>
          <w:sz w:val="18"/>
          <w:szCs w:val="18"/>
        </w:rPr>
        <w:t xml:space="preserve">38. Zhou W, Laird PW, Shen H. Comprehensive characterization, annotation and innovative use of Infinium DNA methylation BeadChip probes. </w:t>
      </w:r>
      <w:r>
        <w:rPr>
          <w:i/>
          <w:iCs/>
          <w:sz w:val="18"/>
          <w:szCs w:val="18"/>
        </w:rPr>
        <w:t xml:space="preserve">Nucleic Acids Res</w:t>
      </w:r>
      <w:r>
        <w:rPr>
          <w:sz w:val="18"/>
          <w:szCs w:val="18"/>
        </w:rPr>
        <w:t xml:space="preserve">. 2017;45:e22. https://doi.org/10.1093/nar/gkw967</w:t>
      </w:r>
    </w:p>
    <w:p>
      <w:pPr>
        <w:spacing w:after="80"/>
      </w:pPr>
      <w:r>
        <w:rPr>
          <w:sz w:val="18"/>
          <w:szCs w:val="18"/>
        </w:rPr>
        <w:t xml:space="preserve">39. DeLong ER, DeLong DM, Clarke-Pearson DL. Comparing the areas under two or more correlated receiver operating characteristic curves: a nonparametric approach. </w:t>
      </w:r>
      <w:r>
        <w:rPr>
          <w:i/>
          <w:iCs/>
          <w:sz w:val="18"/>
          <w:szCs w:val="18"/>
        </w:rPr>
        <w:t xml:space="preserve">Biometrics</w:t>
      </w:r>
      <w:r>
        <w:rPr>
          <w:sz w:val="18"/>
          <w:szCs w:val="18"/>
        </w:rPr>
        <w:t xml:space="preserve">. 1988;44:837–845. https://doi.org/10.2307/2531595</w:t>
      </w:r>
    </w:p>
    <w:p>
      <w:pPr>
        <w:spacing w:after="80"/>
      </w:pPr>
      <w:r>
        <w:rPr>
          <w:sz w:val="18"/>
          <w:szCs w:val="18"/>
        </w:rPr>
        <w:t xml:space="preserve">40. Hanley JA, McNeil BJ. The meaning and use of the area under a receiver operating characteristic (ROC) curve. </w:t>
      </w:r>
      <w:r>
        <w:rPr>
          <w:i/>
          <w:iCs/>
          <w:sz w:val="18"/>
          <w:szCs w:val="18"/>
        </w:rPr>
        <w:t xml:space="preserve">Radiology</w:t>
      </w:r>
      <w:r>
        <w:rPr>
          <w:sz w:val="18"/>
          <w:szCs w:val="18"/>
        </w:rPr>
        <w:t xml:space="preserve">. 1982;143:29–36. https://doi.org/10.1148/radiology.143.1.7063747</w:t>
      </w:r>
    </w:p>
    <w:p>
      <w:pPr>
        <w:spacing w:after="80"/>
      </w:pPr>
      <w:r>
        <w:rPr>
          <w:sz w:val="18"/>
          <w:szCs w:val="18"/>
        </w:rPr>
        <w:t xml:space="preserve">41. Newman AM, Steen CB, Liu CL, et al. Determining cell type abundance and expression from bulk tissues with digital cytometry. </w:t>
      </w:r>
      <w:r>
        <w:rPr>
          <w:i/>
          <w:iCs/>
          <w:sz w:val="18"/>
          <w:szCs w:val="18"/>
        </w:rPr>
        <w:t xml:space="preserve">Nat Biotechnol</w:t>
      </w:r>
      <w:r>
        <w:rPr>
          <w:sz w:val="18"/>
          <w:szCs w:val="18"/>
        </w:rPr>
        <w:t xml:space="preserve">. 2019;37:773–782. https://doi.org/10.1038/s41587-019-0114-2</w:t>
      </w:r>
    </w:p>
    <w:p>
      <w:pPr>
        <w:spacing w:after="80"/>
      </w:pPr>
      <w:r>
        <w:rPr>
          <w:sz w:val="18"/>
          <w:szCs w:val="18"/>
        </w:rPr>
        <w:t xml:space="preserve">42. Carter SL, Cibulskis K, Helman E, et al. Absolute quantification of somatic DNA alterations in human cancer. </w:t>
      </w:r>
      <w:r>
        <w:rPr>
          <w:i/>
          <w:iCs/>
          <w:sz w:val="18"/>
          <w:szCs w:val="18"/>
        </w:rPr>
        <w:t xml:space="preserve">Nat Biotechnol</w:t>
      </w:r>
      <w:r>
        <w:rPr>
          <w:sz w:val="18"/>
          <w:szCs w:val="18"/>
        </w:rPr>
        <w:t xml:space="preserve">. 2012;30:413–421. https://doi.org/10.1038/nbt.2203</w:t>
      </w:r>
    </w:p>
    <w:p>
      <w:pPr>
        <w:spacing w:after="80"/>
      </w:pPr>
      <w:r>
        <w:rPr>
          <w:sz w:val="18"/>
          <w:szCs w:val="18"/>
        </w:rPr>
        <w:t xml:space="preserve">43. Tirosh I, Izar B, Prakadan SM, et al. Dissecting the multicellular ecosystem of metastatic melanoma by single-cell RNA-seq. </w:t>
      </w:r>
      <w:r>
        <w:rPr>
          <w:i/>
          <w:iCs/>
          <w:sz w:val="18"/>
          <w:szCs w:val="18"/>
        </w:rPr>
        <w:t xml:space="preserve">Science</w:t>
      </w:r>
      <w:r>
        <w:rPr>
          <w:sz w:val="18"/>
          <w:szCs w:val="18"/>
        </w:rPr>
        <w:t xml:space="preserve">. 2016;352:189–96. https://doi.org/10.1126/science.aad0501</w:t>
      </w:r>
    </w:p>
    <w:p>
      <w:pPr>
        <w:spacing w:after="80"/>
      </w:pPr>
      <w:r>
        <w:rPr>
          <w:sz w:val="18"/>
          <w:szCs w:val="18"/>
        </w:rPr>
        <w:t xml:space="preserve">44. Kehoe SM, Oka M, Hankowski KE, et al. A conserved E2F6-binding element in murine meiosis-specific gene promoters. </w:t>
      </w:r>
      <w:r>
        <w:rPr>
          <w:i/>
          <w:iCs/>
          <w:sz w:val="18"/>
          <w:szCs w:val="18"/>
        </w:rPr>
        <w:t xml:space="preserve">Biol Reprod</w:t>
      </w:r>
      <w:r>
        <w:rPr>
          <w:sz w:val="18"/>
          <w:szCs w:val="18"/>
        </w:rPr>
        <w:t xml:space="preserve">. 2008;79:921–930. https://doi.org/10.1095/biolreprod.108.067645</w:t>
      </w:r>
    </w:p>
    <w:p>
      <w:pPr>
        <w:spacing w:after="80"/>
      </w:pPr>
      <w:r>
        <w:rPr>
          <w:sz w:val="18"/>
          <w:szCs w:val="18"/>
        </w:rPr>
        <w:t xml:space="preserve">45. Storre J, Schäfer A, Reichert N, et al. Silencing of the meiotic genes SMC1β and STAG3 in somatic cells by E2F6. </w:t>
      </w:r>
      <w:r>
        <w:rPr>
          <w:i/>
          <w:iCs/>
          <w:sz w:val="18"/>
          <w:szCs w:val="18"/>
        </w:rPr>
        <w:t xml:space="preserve">J Biol Chem</w:t>
      </w:r>
      <w:r>
        <w:rPr>
          <w:sz w:val="18"/>
          <w:szCs w:val="18"/>
        </w:rPr>
        <w:t xml:space="preserve">. 2005;280:41380–41386. https://doi.org/10.1074/jbc.M506797200</w:t>
      </w:r>
    </w:p>
    <w:p>
      <w:pPr>
        <w:spacing w:after="80"/>
      </w:pPr>
      <w:r>
        <w:rPr>
          <w:sz w:val="18"/>
          <w:szCs w:val="18"/>
        </w:rPr>
        <w:t xml:space="preserve">46. Velasco G, Hubé F, Rollin J, et al. Dnmt3b recruitment through E2F6 transcriptional repressor mediates germ-line gene silencing in murine somatic tissues. </w:t>
      </w:r>
      <w:r>
        <w:rPr>
          <w:i/>
          <w:iCs/>
          <w:sz w:val="18"/>
          <w:szCs w:val="18"/>
        </w:rPr>
        <w:t xml:space="preserve">Proc Natl Acad Sci U S A</w:t>
      </w:r>
      <w:r>
        <w:rPr>
          <w:sz w:val="18"/>
          <w:szCs w:val="18"/>
        </w:rPr>
        <w:t xml:space="preserve">. 2010;107:9281–9286. https://doi.org/10.1073/pnas.1000473107</w:t>
      </w:r>
    </w:p>
    <w:p>
      <w:pPr>
        <w:spacing w:after="80"/>
      </w:pPr>
      <w:r>
        <w:rPr>
          <w:sz w:val="18"/>
          <w:szCs w:val="18"/>
        </w:rPr>
        <w:t xml:space="preserve">47. Cabrita R, Lauss M, Sanna A, et al. Tertiary lymphoid structures improve immunotherapy and survival in melanoma. </w:t>
      </w:r>
      <w:r>
        <w:rPr>
          <w:i/>
          <w:iCs/>
          <w:sz w:val="18"/>
          <w:szCs w:val="18"/>
        </w:rPr>
        <w:t xml:space="preserve">Nature</w:t>
      </w:r>
      <w:r>
        <w:rPr>
          <w:sz w:val="18"/>
          <w:szCs w:val="18"/>
        </w:rPr>
        <w:t xml:space="preserve">. 2020;577:561–565. https://doi.org/10.1038/s41586-019-1914-8</w:t>
      </w:r>
    </w:p>
    <w:p>
      <w:pPr>
        <w:spacing w:after="80"/>
      </w:pPr>
      <w:r>
        <w:rPr>
          <w:sz w:val="18"/>
          <w:szCs w:val="18"/>
        </w:rPr>
        <w:t xml:space="preserve">48. Petitprez F, de Reyniès A, Keung EZ, et al. B cells are associated with survival and immunotherapy response in sarcoma. </w:t>
      </w:r>
      <w:r>
        <w:rPr>
          <w:i/>
          <w:iCs/>
          <w:sz w:val="18"/>
          <w:szCs w:val="18"/>
        </w:rPr>
        <w:t xml:space="preserve">Nature</w:t>
      </w:r>
      <w:r>
        <w:rPr>
          <w:sz w:val="18"/>
          <w:szCs w:val="18"/>
        </w:rPr>
        <w:t xml:space="preserve">. 2020;577:556–560. https://doi.org/10.1038/s41586-019-1906-8</w:t>
      </w:r>
    </w:p>
    <w:p>
      <w:pPr>
        <w:pStyle w:val="Heading1"/>
        <w:spacing w:after="140" w:before="280"/>
      </w:pPr>
      <w:r>
        <w:t xml:space="preserve">Supplementary Material</w:t>
      </w:r>
    </w:p>
    <w:p>
      <w:pPr>
        <w:pStyle w:val="Heading2"/>
        <w:keepNext/>
        <w:spacing w:after="100" w:before="200"/>
      </w:pPr>
      <w:r>
        <w:t xml:space="preserve">Supplementary figures</w:t>
      </w:r>
    </w:p>
    <w:p>
      <w:pPr>
        <w:keepNext/>
        <w:spacing w:after="80" w:before="120"/>
        <w:jc w:val="center"/>
      </w:pPr>
      <w:r>
        <w:drawing>
          <wp:inline distT="0" distB="0" distL="0" distR="0">
            <wp:extent cx="4095750" cy="35147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3514725"/>
                    </a:xfrm>
                    <a:prstGeom prst="rect">
                      <a:avLst/>
                    </a:prstGeom>
                  </pic:spPr>
                </pic:pic>
              </a:graphicData>
            </a:graphic>
          </wp:inline>
        </w:drawing>
      </w:r>
    </w:p>
    <w:p>
      <w:pPr>
        <w:spacing w:after="220" w:line="260"/>
        <w:sectPr>
          <w:footerReference w:type="default" r:id="rId14"/>
          <w:pgSz w:w="11906" w:h="16838" w:orient="portrait"/>
          <w:pgMar w:top="1134" w:right="1134" w:bottom="1134" w:left="1134" w:header="708" w:footer="708" w:gutter="0"/>
          <w:pgNumType/>
          <w:docGrid w:linePitch="360"/>
        </w:sectPr>
      </w:pPr>
      <w:r>
        <w:rPr>
          <w:b/>
          <w:bCs/>
          <w:sz w:val="18"/>
          <w:szCs w:val="18"/>
        </w:rPr>
        <w:t xml:space="preserve">Supplementary Fig. S1. Principal component analysis of the 279 TCGA-HNSC tumours</w:t>
      </w:r>
      <w:r>
        <w:rPr>
          <w:sz w:val="18"/>
          <w:szCs w:val="18"/>
        </w:rPr>
        <w:t xml:space="preserve"> (variance-stabilised expression). HPV+ and HPV− tumours separate partially along PC1 (22% of variance) and PC2 (14%).</w:t>
      </w:r>
    </w:p>
    <w:p>
      <w:pPr>
        <w:keepNext/>
        <w:spacing w:after="80" w:before="120"/>
        <w:jc w:val="center"/>
      </w:pPr>
      <w:r>
        <w:drawing>
          <wp:inline distT="0" distB="0" distL="0" distR="0">
            <wp:extent cx="91440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2009775"/>
                    </a:xfrm>
                    <a:prstGeom prst="rect">
                      <a:avLst/>
                    </a:prstGeom>
                  </pic:spPr>
                </pic:pic>
              </a:graphicData>
            </a:graphic>
          </wp:inline>
        </w:drawing>
      </w:r>
    </w:p>
    <w:p>
      <w:pPr>
        <w:spacing w:after="220" w:line="260"/>
        <w:sectPr>
          <w:footerReference w:type="default" r:id="rId15"/>
          <w:pgSz w:w="16838" w:h="11906" w:orient="landscape"/>
          <w:pgMar w:top="1134" w:right="1134" w:bottom="1134" w:left="1134" w:header="708" w:footer="708" w:gutter="0"/>
          <w:pgNumType/>
          <w:docGrid w:linePitch="360"/>
        </w:sectPr>
      </w:pPr>
      <w:r>
        <w:rPr>
          <w:b/>
          <w:bCs/>
          <w:sz w:val="18"/>
          <w:szCs w:val="18"/>
        </w:rPr>
        <w:t xml:space="preserve">Supplementary Fig. S2. The meiotic hypothesis originates in an unbiased analysis.</w:t>
      </w:r>
      <w:r>
        <w:rPr>
          <w:sz w:val="18"/>
          <w:szCs w:val="18"/>
        </w:rPr>
        <w:t xml:space="preserve"> (a) The 20 most positively enriched GSEA biological-process terms in HPV+ versus HPV− TCGA-HNSC tumours; meiosis-related terms in blue. (b) Fold enrichment of each panel category among genes upregulated in HPV+ tumours (FDR &lt; 0.05); the MAGE/CTAG comparator (red) is the only category not enriched. (c) Panel genes observed among upregulated differentially expressed genes versus the hypergeometric expectation, at two stringency thresholds.</w:t>
      </w:r>
    </w:p>
    <w:p>
      <w:pPr>
        <w:keepNext/>
        <w:spacing w:after="80" w:before="120"/>
        <w:jc w:val="center"/>
      </w:pPr>
      <w:r>
        <w:drawing>
          <wp:inline distT="0" distB="0" distL="0" distR="0">
            <wp:extent cx="8572500" cy="4248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8572500" cy="4248150"/>
                    </a:xfrm>
                    <a:prstGeom prst="rect">
                      <a:avLst/>
                    </a:prstGeom>
                  </pic:spPr>
                </pic:pic>
              </a:graphicData>
            </a:graphic>
          </wp:inline>
        </w:drawing>
      </w:r>
    </w:p>
    <w:p>
      <w:pPr>
        <w:spacing w:after="220" w:line="260"/>
        <w:sectPr>
          <w:footerReference w:type="default" r:id="rId16"/>
          <w:pgSz w:w="16838" w:h="11906" w:orient="landscape"/>
          <w:pgMar w:top="1134" w:right="1134" w:bottom="1134" w:left="1134" w:header="708" w:footer="708" w:gutter="0"/>
          <w:pgNumType/>
          <w:docGrid w:linePitch="360"/>
        </w:sectPr>
      </w:pPr>
      <w:r>
        <w:rPr>
          <w:b/>
          <w:bCs/>
          <w:sz w:val="18"/>
          <w:szCs w:val="18"/>
        </w:rPr>
        <w:t xml:space="preserve">Supplementary Fig. S3. Pathways downregulated in HPV+ tumours.</w:t>
      </w:r>
      <w:r>
        <w:rPr>
          <w:sz w:val="18"/>
          <w:szCs w:val="18"/>
        </w:rPr>
        <w:t xml:space="preserve"> Left, GO biological-process over-representation among downregulated genes; right, KEGG pathway over-representation among downregulated genes, led by cornified envelope formation and cadherin signalling.</w:t>
      </w:r>
    </w:p>
    <w:p>
      <w:pPr>
        <w:keepNext/>
        <w:spacing w:after="80" w:before="120"/>
        <w:jc w:val="center"/>
      </w:pPr>
      <w:r>
        <w:drawing>
          <wp:inline distT="0" distB="0" distL="0" distR="0">
            <wp:extent cx="9144000" cy="2828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2828925"/>
                    </a:xfrm>
                    <a:prstGeom prst="rect">
                      <a:avLst/>
                    </a:prstGeom>
                  </pic:spPr>
                </pic:pic>
              </a:graphicData>
            </a:graphic>
          </wp:inline>
        </w:drawing>
      </w:r>
    </w:p>
    <w:p>
      <w:pPr>
        <w:spacing w:after="220" w:line="260"/>
        <w:sectPr>
          <w:footerReference w:type="default" r:id="rId17"/>
          <w:pgSz w:w="16838" w:h="11906" w:orient="landscape"/>
          <w:pgMar w:top="1134" w:right="1134" w:bottom="1134" w:left="1134" w:header="708" w:footer="708" w:gutter="0"/>
          <w:pgNumType/>
          <w:docGrid w:linePitch="360"/>
        </w:sectPr>
      </w:pPr>
      <w:r>
        <w:rPr>
          <w:b/>
          <w:bCs/>
          <w:sz w:val="18"/>
          <w:szCs w:val="18"/>
        </w:rPr>
        <w:t xml:space="preserve">Supplementary Fig. S4. The core meiotic genes are co-expressed as a module (GSE65858).</w:t>
      </w:r>
      <w:r>
        <w:rPr>
          <w:sz w:val="18"/>
          <w:szCs w:val="18"/>
        </w:rPr>
        <w:t xml:space="preserve"> (a) Mean pairwise Spearman correlation within the six-gene core module, the wider meiotic panel and the classic cancer–testis antigens, by group. (b) Pairwise correlation matrix of the core genes in virus-active HPV+ tumours (n = 35). (c) The same matrix in HPV− tumours (n = 196), in which no module structure is present. The contrast is not attributable to group size (size-matched permutation P = 0.001; 1,000 random subsets of 35 HPV− tumours, null 95% interval 0.027–0.273).</w:t>
      </w:r>
    </w:p>
    <w:p>
      <w:pPr>
        <w:keepNext/>
        <w:spacing w:after="80" w:before="120"/>
        <w:jc w:val="center"/>
      </w:pPr>
      <w:r>
        <w:drawing>
          <wp:inline distT="0" distB="0" distL="0" distR="0">
            <wp:extent cx="6096000" cy="27146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714625"/>
                    </a:xfrm>
                    <a:prstGeom prst="rect">
                      <a:avLst/>
                    </a:prstGeom>
                  </pic:spPr>
                </pic:pic>
              </a:graphicData>
            </a:graphic>
          </wp:inline>
        </w:drawing>
      </w:r>
    </w:p>
    <w:p>
      <w:pPr>
        <w:spacing w:after="220" w:line="260"/>
      </w:pPr>
      <w:r>
        <w:rPr>
          <w:b/>
          <w:bCs/>
          <w:sz w:val="18"/>
          <w:szCs w:val="18"/>
        </w:rPr>
        <w:t xml:space="preserve">Supplementary Fig. S5. Validation of CIBERSORTx CD8+ T-cell estimates.</w:t>
      </w:r>
      <w:r>
        <w:rPr>
          <w:sz w:val="18"/>
          <w:szCs w:val="18"/>
        </w:rPr>
        <w:t xml:space="preserve"> CD8+ T-cell fraction versus </w:t>
      </w:r>
      <w:r>
        <w:rPr>
          <w:i/>
          <w:iCs/>
          <w:sz w:val="18"/>
          <w:szCs w:val="18"/>
        </w:rPr>
        <w:t xml:space="preserve">CD8A</w:t>
      </w:r>
      <w:r>
        <w:rPr>
          <w:sz w:val="18"/>
          <w:szCs w:val="18"/>
        </w:rPr>
        <w:t xml:space="preserve"> (a; Spearman ρ = 0.735) and </w:t>
      </w:r>
      <w:r>
        <w:rPr>
          <w:i/>
          <w:iCs/>
          <w:sz w:val="18"/>
          <w:szCs w:val="18"/>
        </w:rPr>
        <w:t xml:space="preserve">CD8B</w:t>
      </w:r>
      <w:r>
        <w:rPr>
          <w:sz w:val="18"/>
          <w:szCs w:val="18"/>
        </w:rPr>
        <w:t xml:space="preserve"> (b; ρ = 0.689) expression, shown as log</w:t>
      </w:r>
      <w:r>
        <w:rPr>
          <w:sz w:val="18"/>
          <w:szCs w:val="18"/>
          <w:vertAlign w:val="subscript"/>
        </w:rPr>
        <w:t xml:space="preserve">2</w:t>
      </w:r>
      <w:r>
        <w:rPr>
          <w:sz w:val="18"/>
          <w:szCs w:val="18"/>
        </w:rPr>
        <w:t xml:space="preserve">(DESeq2-normalised count + 1), in 279 tumours.</w:t>
      </w:r>
    </w:p>
    <w:p>
      <w:pPr>
        <w:keepNext/>
        <w:spacing w:after="80" w:before="120"/>
        <w:jc w:val="center"/>
      </w:pPr>
      <w:r>
        <w:drawing>
          <wp:inline distT="0" distB="0" distL="0" distR="0">
            <wp:extent cx="4572000" cy="31623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162300"/>
                    </a:xfrm>
                    <a:prstGeom prst="rect">
                      <a:avLst/>
                    </a:prstGeom>
                  </pic:spPr>
                </pic:pic>
              </a:graphicData>
            </a:graphic>
          </wp:inline>
        </w:drawing>
      </w:r>
    </w:p>
    <w:p>
      <w:pPr>
        <w:spacing w:after="220" w:line="260"/>
      </w:pPr>
      <w:r>
        <w:rPr>
          <w:b/>
          <w:bCs/>
          <w:sz w:val="18"/>
          <w:szCs w:val="18"/>
        </w:rPr>
        <w:t xml:space="preserve">Supplementary Fig. S6. Exploratory univariable Cox models of overall survival</w:t>
      </w:r>
      <w:r>
        <w:rPr>
          <w:sz w:val="18"/>
          <w:szCs w:val="18"/>
        </w:rPr>
        <w:t xml:space="preserve"> for the nine leading HPV-upregulated genes (n = 279). HRs per standard deviation of variance-stabilised expression with 95% confidence intervals; red marks nominal P &lt; 0.05; estimates are listed at right. Models are not adjusted for HPV status or other covariates.</w:t>
      </w:r>
    </w:p>
    <w:p>
      <w:pPr>
        <w:keepNext/>
        <w:spacing w:after="80" w:before="120"/>
        <w:jc w:val="center"/>
      </w:pPr>
      <w:r>
        <w:drawing>
          <wp:inline distT="0" distB="0" distL="0" distR="0">
            <wp:extent cx="409575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3238500"/>
                    </a:xfrm>
                    <a:prstGeom prst="rect">
                      <a:avLst/>
                    </a:prstGeom>
                  </pic:spPr>
                </pic:pic>
              </a:graphicData>
            </a:graphic>
          </wp:inline>
        </w:drawing>
      </w:r>
    </w:p>
    <w:p>
      <w:pPr>
        <w:spacing w:after="220" w:line="260"/>
      </w:pPr>
      <w:r>
        <w:rPr>
          <w:b/>
          <w:bCs/>
          <w:sz w:val="18"/>
          <w:szCs w:val="18"/>
        </w:rPr>
        <w:t xml:space="preserve">Supplementary Fig. S7. Kaplan–Meier overall survival</w:t>
      </w:r>
      <w:r>
        <w:rPr>
          <w:sz w:val="18"/>
          <w:szCs w:val="18"/>
        </w:rPr>
        <w:t xml:space="preserve"> of the 279 TCGA-HNSC tumours split at the median of </w:t>
      </w:r>
      <w:r>
        <w:rPr>
          <w:i/>
          <w:iCs/>
          <w:sz w:val="18"/>
          <w:szCs w:val="18"/>
        </w:rPr>
        <w:t xml:space="preserve">ZFR2</w:t>
      </w:r>
      <w:r>
        <w:rPr>
          <w:sz w:val="18"/>
          <w:szCs w:val="18"/>
        </w:rPr>
        <w:t xml:space="preserve"> expression (139 high, 140 low; exploratory; unadjusted). The log-rank P value is 0.0025 and the numbers at risk at 0, 50, 100, 150 and 200 months are shown below the axis.</w:t>
      </w:r>
    </w:p>
    <w:p>
      <w:pPr>
        <w:pStyle w:val="Heading2"/>
        <w:keepNext/>
        <w:spacing w:after="100" w:before="200"/>
      </w:pPr>
      <w:r>
        <w:t xml:space="preserve">Supplementary tables</w:t>
      </w:r>
    </w:p>
    <w:p>
      <w:pPr>
        <w:keepNext/>
        <w:spacing w:after="80" w:before="200"/>
      </w:pPr>
      <w:r>
        <w:rPr>
          <w:b/>
          <w:bCs/>
          <w:sz w:val="18"/>
          <w:szCs w:val="18"/>
        </w:rPr>
        <w:t xml:space="preserve">Supplementary Table S1.</w:t>
      </w:r>
      <w:r>
        <w:rPr>
          <w:sz w:val="18"/>
          <w:szCs w:val="18"/>
        </w:rPr>
        <w:t xml:space="preserve"> The six-gene core meiotic module, its functional components, gene symbols in the single-cell matrices and membership of the four-gene meiosis-specific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6"/>
        <w:gridCol w:w="2698"/>
        <w:gridCol w:w="231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Functional component</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Symbol in GSE181919 / GSE182227</w:t>
            </w:r>
          </w:p>
        </w:tc>
        <w:tc>
          <w:tcPr>
            <w:tcW w:type="dxa" w:w="231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Synaptonemal-complex attachment machinery</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C11orf85</w:t>
            </w:r>
            <w:r>
              <w:rPr>
                <w:b w:val="false"/>
                <w:bCs w:val="false"/>
                <w:sz w:val="17"/>
                <w:szCs w:val="17"/>
              </w:rPr>
              <w:t xml:space="preserve"> (previous symbol)</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Meiosis-specific cohesin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 (detected in B/plasma cells)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Recombination initiation</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231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 (detected in B/plasma cells)</w:t>
            </w:r>
          </w:p>
        </w:tc>
      </w:tr>
    </w:tbl>
    <w:p>
      <w:pPr>
        <w:spacing w:after="120"/>
      </w:pPr>
    </w:p>
    <w:p>
      <w:pPr>
        <w:keepNext/>
        <w:spacing w:after="80" w:before="200"/>
      </w:pPr>
      <w:r>
        <w:rPr>
          <w:b/>
          <w:bCs/>
          <w:sz w:val="18"/>
          <w:szCs w:val="18"/>
        </w:rPr>
        <w:t xml:space="preserve">Supplementary Table S2.</w:t>
      </w:r>
      <w:r>
        <w:rPr>
          <w:sz w:val="18"/>
          <w:szCs w:val="18"/>
        </w:rPr>
        <w:t xml:space="preserve"> The twelve most significant up- and ten most significant downregulated genes in HPV+ versus HPV− TCGA-HNSC tumours (DESeq2; ranked by FDR, ties broken by P value). Panel, member of the 95-gene panel (cta_geneset.csv).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1542"/>
        <w:gridCol w:w="771"/>
        <w:gridCol w:w="1734"/>
        <w:gridCol w:w="1156"/>
        <w:gridCol w:w="1930"/>
      </w:tblGrid>
      <w:tr>
        <w:trPr>
          <w:tblHeader/>
        </w:trPr>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Upregulated gene</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Panel</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Downregulated gene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93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 × 10</w:t>
            </w:r>
            <w:r>
              <w:rPr>
                <w:b w:val="false"/>
                <w:bCs w:val="false"/>
                <w:sz w:val="17"/>
                <w:szCs w:val="17"/>
                <w:vertAlign w:val="superscript"/>
              </w:rPr>
              <w:t xml:space="preserve">−107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LINC02700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−5.78</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−33</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DSC1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−5.20</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5.81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9.9 × 10</w:t>
            </w:r>
            <w:r>
              <w:rPr>
                <w:b w:val="false"/>
                <w:bCs w:val="false"/>
                <w:sz w:val="17"/>
                <w:szCs w:val="17"/>
                <w:vertAlign w:val="superscript"/>
              </w:rPr>
              <w:t xml:space="preserve">−100</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FOLR3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−4.67</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6.3 × 10</w:t>
            </w:r>
            <w:r>
              <w:rPr>
                <w:b w:val="false"/>
                <w:bCs w:val="false"/>
                <w:sz w:val="17"/>
                <w:szCs w:val="17"/>
                <w:vertAlign w:val="superscript"/>
              </w:rPr>
              <w:t xml:space="preserve">−32</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5.91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−91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AL033397.1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−86</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MUCL1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RAD9B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−83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RDH12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−4.41</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 × 10</w:t>
            </w:r>
            <w:r>
              <w:rPr>
                <w:b w:val="false"/>
                <w:bCs w:val="false"/>
                <w:sz w:val="17"/>
                <w:szCs w:val="17"/>
                <w:vertAlign w:val="superscript"/>
              </w:rPr>
              <w:t xml:space="preserve">−69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SLC3A2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−1.46</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8.2 × 10</w:t>
            </w:r>
            <w:r>
              <w:rPr>
                <w:b w:val="false"/>
                <w:bCs w:val="false"/>
                <w:sz w:val="17"/>
                <w:szCs w:val="17"/>
                <w:vertAlign w:val="superscript"/>
              </w:rPr>
              <w:t xml:space="preserve">−31</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6.95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 × 10</w:t>
            </w:r>
            <w:r>
              <w:rPr>
                <w:b w:val="false"/>
                <w:bCs w:val="false"/>
                <w:sz w:val="17"/>
                <w:szCs w:val="17"/>
                <w:vertAlign w:val="superscript"/>
              </w:rPr>
              <w:t xml:space="preserve">−68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IGFL3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−5.44</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 × 10</w:t>
            </w:r>
            <w:r>
              <w:rPr>
                <w:b w:val="false"/>
                <w:bCs w:val="false"/>
                <w:sz w:val="17"/>
                <w:szCs w:val="17"/>
                <w:vertAlign w:val="superscript"/>
              </w:rPr>
              <w:t xml:space="preserve">−29</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 × 10</w:t>
            </w:r>
            <w:r>
              <w:rPr>
                <w:b w:val="false"/>
                <w:bCs w:val="false"/>
                <w:sz w:val="17"/>
                <w:szCs w:val="17"/>
                <w:vertAlign w:val="superscript"/>
              </w:rPr>
              <w:t xml:space="preserve">−64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SLC35F3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−3.25</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−28</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ABCA17P</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SPRR4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−4.49</w:t>
            </w: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 × 10</w:t>
            </w:r>
            <w:r>
              <w:rPr>
                <w:b w:val="false"/>
                <w:bCs w:val="false"/>
                <w:sz w:val="17"/>
                <w:szCs w:val="17"/>
                <w:vertAlign w:val="superscript"/>
              </w:rPr>
              <w:t xml:space="preserve">−27</w:t>
            </w: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CNTD1</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−63</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p>
        </w:tc>
      </w:tr>
      <w:tr>
        <w:trPr>
          <w:cantSplit/>
        </w:trPr>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C8G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4.06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 × 10</w:t>
            </w:r>
            <w:r>
              <w:rPr>
                <w:b w:val="false"/>
                <w:bCs w:val="false"/>
                <w:sz w:val="17"/>
                <w:szCs w:val="17"/>
                <w:vertAlign w:val="superscript"/>
              </w:rPr>
              <w:t xml:space="preserve">−62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c>
          <w:tcPr>
            <w:tcW w:type="dxa" w:w="193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p>
        </w:tc>
      </w:tr>
    </w:tbl>
    <w:p>
      <w:pPr>
        <w:spacing w:after="120"/>
      </w:pPr>
    </w:p>
    <w:p>
      <w:pPr>
        <w:keepNext/>
        <w:spacing w:after="80" w:before="200"/>
      </w:pPr>
      <w:r>
        <w:rPr>
          <w:b/>
          <w:bCs/>
          <w:sz w:val="18"/>
          <w:szCs w:val="18"/>
        </w:rPr>
        <w:t xml:space="preserve">Supplementary Table S3.</w:t>
      </w:r>
      <w:r>
        <w:rPr>
          <w:sz w:val="18"/>
          <w:szCs w:val="18"/>
        </w:rPr>
        <w:t xml:space="preserve"> Differential expression of immune and epithelial marker genes in the unadjusted and primary-site-adjusted DESeq2 models (TCGA-HNSC; 36 HPV+ vs 243 HPV−).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698"/>
        <w:gridCol w:w="1156"/>
        <w:gridCol w:w="1542"/>
        <w:gridCol w:w="1542"/>
        <w:gridCol w:w="1544"/>
      </w:tblGrid>
      <w:tr>
        <w:trPr>
          <w:tblHeader/>
        </w:trPr>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Role</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log</w:t>
            </w:r>
            <w:r>
              <w:rPr>
                <w:b/>
                <w:bCs/>
                <w:sz w:val="17"/>
                <w:szCs w:val="17"/>
                <w:vertAlign w:val="subscript"/>
              </w:rPr>
              <w:t xml:space="preserve">2</w:t>
            </w:r>
            <w:r>
              <w:rPr>
                <w:b/>
                <w:bCs/>
                <w:sz w:val="17"/>
                <w:szCs w:val="17"/>
              </w:rPr>
              <w:t xml:space="preserve">FC, site-adjusted</w:t>
            </w:r>
          </w:p>
        </w:tc>
        <w:tc>
          <w:tcPr>
            <w:tcW w:type="dxa" w:w="154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 site-adjusted</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MS4A1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Mature B cell (CD20)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2.03</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 × 10</w:t>
            </w:r>
            <w:r>
              <w:rPr>
                <w:b w:val="false"/>
                <w:bCs w:val="false"/>
                <w:sz w:val="17"/>
                <w:szCs w:val="17"/>
                <w:vertAlign w:val="superscript"/>
              </w:rPr>
              <w:t xml:space="preserve">−5</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IGHA1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6.4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8.6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6.7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CD79B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B-cell receptor</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IGKC</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light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7.5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0.038</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IGHG3</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Immunoglobulin heavy chain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5.3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9.2 × 10</w:t>
            </w:r>
            <w:r>
              <w:rPr>
                <w:b w:val="false"/>
                <w:bCs w:val="false"/>
                <w:sz w:val="17"/>
                <w:szCs w:val="17"/>
                <w:vertAlign w:val="superscript"/>
              </w:rPr>
              <w:t xml:space="preserve">−4</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Cytotoxic T cell</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1.07</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2.2 × 10</w:t>
            </w:r>
            <w:r>
              <w:rPr>
                <w:b w:val="false"/>
                <w:bCs w:val="false"/>
                <w:sz w:val="17"/>
                <w:szCs w:val="17"/>
                <w:vertAlign w:val="superscript"/>
              </w:rPr>
              <w:t xml:space="preserve">−3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−4.90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4.8 × 10</w:t>
            </w:r>
            <w:r>
              <w:rPr>
                <w:b w:val="false"/>
                <w:bCs w:val="false"/>
                <w:sz w:val="17"/>
                <w:szCs w:val="17"/>
                <w:vertAlign w:val="superscript"/>
              </w:rPr>
              <w:t xml:space="preserve">−21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−4.09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−13</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KRTDAP</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Keratinocyte differentiation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 × 10</w:t>
            </w:r>
            <w:r>
              <w:rPr>
                <w:b w:val="false"/>
                <w:bCs w:val="false"/>
                <w:sz w:val="17"/>
                <w:szCs w:val="17"/>
                <w:vertAlign w:val="superscript"/>
              </w:rPr>
              <w:t xml:space="preserve">−23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−3.72</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8.3 × 10</w:t>
            </w:r>
            <w:r>
              <w:rPr>
                <w:b w:val="false"/>
                <w:bCs w:val="false"/>
                <w:sz w:val="17"/>
                <w:szCs w:val="17"/>
                <w:vertAlign w:val="superscript"/>
              </w:rPr>
              <w:t xml:space="preserve">−17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Basal keratin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−1.87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−1.96</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 × 10</w:t>
            </w:r>
            <w:r>
              <w:rPr>
                <w:b w:val="false"/>
                <w:bCs w:val="false"/>
                <w:sz w:val="17"/>
                <w:szCs w:val="17"/>
                <w:vertAlign w:val="superscript"/>
              </w:rPr>
              <w:t xml:space="preserve">−9</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KRT16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−1.60</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2.7 × 10</w:t>
            </w:r>
            <w:r>
              <w:rPr>
                <w:b w:val="false"/>
                <w:bCs w:val="false"/>
                <w:sz w:val="17"/>
                <w:szCs w:val="17"/>
                <w:vertAlign w:val="superscript"/>
              </w:rPr>
              <w:t xml:space="preserve">−6</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KRT6A</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9.5 × 10</w:t>
            </w:r>
            <w:r>
              <w:rPr>
                <w:b w:val="false"/>
                <w:bCs w:val="false"/>
                <w:sz w:val="17"/>
                <w:szCs w:val="17"/>
                <w:vertAlign w:val="superscript"/>
              </w:rPr>
              <w:t xml:space="preserve">−9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−1.25</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 × 10</w:t>
            </w:r>
            <w:r>
              <w:rPr>
                <w:b w:val="false"/>
                <w:bCs w:val="false"/>
                <w:sz w:val="17"/>
                <w:szCs w:val="17"/>
                <w:vertAlign w:val="superscript"/>
              </w:rPr>
              <w:t xml:space="preserve">−7</w:t>
            </w:r>
          </w:p>
        </w:tc>
      </w:tr>
      <w:tr>
        <w:trPr>
          <w:cantSplit/>
        </w:trPr>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S100A7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Keratinisation</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−1.92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−1.89</w:t>
            </w:r>
          </w:p>
        </w:tc>
        <w:tc>
          <w:tcPr>
            <w:tcW w:type="dxa" w:w="154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−5</w:t>
            </w:r>
          </w:p>
        </w:tc>
      </w:tr>
    </w:tbl>
    <w:p>
      <w:pPr>
        <w:spacing w:after="120"/>
      </w:pPr>
    </w:p>
    <w:p>
      <w:pPr>
        <w:keepNext/>
        <w:spacing w:after="80" w:before="200"/>
      </w:pPr>
      <w:r>
        <w:rPr>
          <w:b/>
          <w:bCs/>
          <w:sz w:val="18"/>
          <w:szCs w:val="18"/>
        </w:rPr>
        <w:t xml:space="preserve">Supplementary Table S4.</w:t>
      </w:r>
      <w:r>
        <w:rPr>
          <w:sz w:val="18"/>
          <w:szCs w:val="18"/>
        </w:rPr>
        <w:t xml:space="preserve"> Panel-category enrichment among genes upregulated in HPV+ tumours. Counts are genes testable in the re-annotated table; P values are hypergeometric; P</w:t>
      </w:r>
      <w:r>
        <w:rPr>
          <w:sz w:val="18"/>
          <w:szCs w:val="18"/>
          <w:vertAlign w:val="subscript"/>
        </w:rPr>
        <w:t xml:space="preserve">adj</w:t>
      </w:r>
      <w:r>
        <w:rPr>
          <w:sz w:val="18"/>
          <w:szCs w:val="18"/>
        </w:rPr>
        <w:t xml:space="preserve"> is Bonferroni-corrected across the seven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963"/>
        <w:gridCol w:w="771"/>
        <w:gridCol w:w="1156"/>
        <w:gridCol w:w="963"/>
        <w:gridCol w:w="1156"/>
        <w:gridCol w:w="1353"/>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Category</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Tested</w:t>
            </w:r>
          </w:p>
        </w:tc>
        <w:tc>
          <w:tcPr>
            <w:tcW w:type="dxa" w:w="771"/>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Up</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Expected</w:t>
            </w:r>
          </w:p>
        </w:tc>
        <w:tc>
          <w:tcPr>
            <w:tcW w:type="dxa" w:w="96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Fold</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35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r>
              <w:rPr>
                <w:b/>
                <w:bCs/>
                <w:sz w:val="17"/>
                <w:szCs w:val="17"/>
                <w:vertAlign w:val="subscript"/>
              </w:rPr>
              <w:t xml:space="preserve">adj</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Cell-cycle meiosis</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3.65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cohesin</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0.88</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3.42</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Synaptonemal complex</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9</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1.97</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3.04</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Other germ-cell</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1.75</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Meiotic recombination/DSB</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21</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4.60</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2.39</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piRNA/Tudor germline</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2.63</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Cancer–testis antigen (MAGE/CTAG)</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w:t>
            </w:r>
          </w:p>
        </w:tc>
        <w:tc>
          <w:tcPr>
            <w:tcW w:type="dxa" w:w="771"/>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5.92</w:t>
            </w:r>
          </w:p>
        </w:tc>
        <w:tc>
          <w:tcPr>
            <w:tcW w:type="dxa" w:w="96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0.51</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0.95</w:t>
            </w:r>
          </w:p>
        </w:tc>
        <w:tc>
          <w:tcPr>
            <w:tcW w:type="dxa" w:w="135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1.00</w:t>
            </w:r>
          </w:p>
        </w:tc>
      </w:tr>
    </w:tbl>
    <w:p>
      <w:pPr>
        <w:spacing w:after="120"/>
      </w:pPr>
    </w:p>
    <w:p>
      <w:pPr>
        <w:keepNext/>
        <w:spacing w:after="80" w:before="200"/>
      </w:pPr>
      <w:r>
        <w:rPr>
          <w:b/>
          <w:bCs/>
          <w:sz w:val="18"/>
          <w:szCs w:val="18"/>
        </w:rPr>
        <w:t xml:space="preserve">Supplementary Table S5.</w:t>
      </w:r>
      <w:r>
        <w:rPr>
          <w:sz w:val="18"/>
          <w:szCs w:val="18"/>
        </w:rPr>
        <w:t xml:space="preserve"> Confounder and sensitivity analyses for the core meiotic signal. Site and proliferation analyses are in GSE65858 (virus-active HPV+ vs HPV−); logistic models predict HPV status from the core meiotic score with the stated covariates (β, meiotic-score coefficient). Purity analyses are in TCGA-HNSC with ABSOLUTE purity estimates (277 of 279 tumours); linear models regress the core meiotic score on HPV status with the stated covariates (β, HPV coefficient). A p16-adjusted model is omitted because p16 contributes to the TCGA HPV-status definition; stricter HPV definitions are used instead. Promoter analyses use GDC-harmonised (TCGA) or deposited (GSE38266) β values and CpGs 1,500 bp upstream to 500 bp downstream of an annotated TSS; the B/plasma marker score is the mean Z-score of </w:t>
      </w:r>
      <w:r>
        <w:rPr>
          <w:i/>
          <w:iCs/>
          <w:sz w:val="18"/>
          <w:szCs w:val="18"/>
        </w:rPr>
        <w:t xml:space="preserve">CD19</w:t>
      </w:r>
      <w:r>
        <w:rPr>
          <w:sz w:val="18"/>
          <w:szCs w:val="18"/>
        </w:rPr>
        <w:t xml:space="preserve">, </w:t>
      </w:r>
      <w:r>
        <w:rPr>
          <w:i/>
          <w:iCs/>
          <w:sz w:val="18"/>
          <w:szCs w:val="18"/>
        </w:rPr>
        <w:t xml:space="preserve">CD79A</w:t>
      </w:r>
      <w:r>
        <w:rPr>
          <w:sz w:val="18"/>
          <w:szCs w:val="18"/>
        </w:rPr>
        <w:t xml:space="preserve">, </w:t>
      </w:r>
      <w:r>
        <w:rPr>
          <w:i/>
          <w:iCs/>
          <w:sz w:val="18"/>
          <w:szCs w:val="18"/>
        </w:rPr>
        <w:t xml:space="preserve">JCHAIN</w:t>
      </w:r>
      <w:r>
        <w:rPr>
          <w:sz w:val="18"/>
          <w:szCs w:val="18"/>
        </w:rPr>
        <w:t xml:space="preserve">, </w:t>
      </w:r>
      <w:r>
        <w:rPr>
          <w:i/>
          <w:iCs/>
          <w:sz w:val="18"/>
          <w:szCs w:val="18"/>
        </w:rPr>
        <w:t xml:space="preserve">MS4A1</w:t>
      </w:r>
      <w:r>
        <w:rPr>
          <w:sz w:val="18"/>
          <w:szCs w:val="18"/>
        </w:rPr>
        <w:t xml:space="preserve"> and </w:t>
      </w:r>
      <w:r>
        <w:rPr>
          <w:i/>
          <w:iCs/>
          <w:sz w:val="18"/>
          <w:szCs w:val="18"/>
        </w:rPr>
        <w:t xml:space="preserve">MZB1</w:t>
      </w:r>
      <w:r>
        <w:rPr>
          <w:sz w:val="18"/>
          <w:szCs w:val="18"/>
        </w:rPr>
        <w:t xml:space="preserve">. AUC 95% CIs by DeLong's method; Δβ, HPV+ minus HPV− mean 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349"/>
        <w:gridCol w:w="3084"/>
        <w:gridCol w:w="1929"/>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Analysis</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Cohort (n)</w:t>
            </w:r>
          </w:p>
        </w:tc>
        <w:tc>
          <w:tcPr>
            <w:tcW w:type="dxa" w:w="308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Estimate</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val="false"/>
            </w:pPr>
            <w:r>
              <w:rPr>
                <w:b/>
                <w:bCs/>
                <w:sz w:val="17"/>
                <w:szCs w:val="17"/>
              </w:rPr>
              <w:t xml:space="preserve">P</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Within oropharynx only: core score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(28 vs 47)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0.960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3.3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alone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4.45; model AUC = 0.959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Logistic (outcome: HPV status): meiotic score + proliferation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(231)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4.52; model AUC = 0.961</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by HPV status (mean ± SD, ABSOLUTE)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(36 vs 241)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0.63 ± 0.16 vs 0.48 ± 0.18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−6</w:t>
            </w:r>
            <w:r>
              <w:rPr>
                <w:b w:val="false"/>
                <w:bCs w:val="false"/>
                <w:sz w:val="17"/>
                <w:szCs w:val="17"/>
              </w:rPr>
              <w:t xml:space="preserve"> (Mann–Whitney)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Purity vs core meiotic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0.027</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0.66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2.29 (95% CI 2.13–2.45) unadjusted vs 2.29 (2.13–2.46) adjusted; purity coefficient = −0.022 (−0.33 to 0.28)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 (purity)</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Linear model (outcome: core meiotic score) + purity + proliferation: HPV coefficient</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(277)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β = 2.25 (95% CI 2.08–2.41); purity −0.075 (−0.38 to 0.23), P = 0.63; proliferation 0.085 (0.017–0.154), P = 0.015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1.2 × 10</w:t>
            </w:r>
            <w:r>
              <w:rPr>
                <w:b w:val="false"/>
                <w:bCs w:val="false"/>
                <w:sz w:val="17"/>
                <w:szCs w:val="17"/>
                <w:vertAlign w:val="superscript"/>
              </w:rPr>
              <w:t xml:space="preserve">−77</w:t>
            </w:r>
            <w:r>
              <w:rPr>
                <w:b w:val="false"/>
                <w:bCs w:val="false"/>
                <w:sz w:val="17"/>
                <w:szCs w:val="17"/>
              </w:rPr>
              <w:t xml:space="preserve"> (HPV)</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score (excludes </w:t>
            </w:r>
            <w:r>
              <w:rPr>
                <w:b w:val="false"/>
                <w:bCs w:val="false"/>
                <w:i/>
                <w:iCs/>
                <w:sz w:val="17"/>
                <w:szCs w:val="17"/>
              </w:rPr>
              <w:t xml:space="preserve">MEI1</w:t>
            </w:r>
            <w:r>
              <w:rPr>
                <w:b w:val="false"/>
                <w:bCs w:val="false"/>
                <w:sz w:val="17"/>
                <w:szCs w:val="17"/>
              </w:rPr>
              <w:t xml:space="preserve">, </w:t>
            </w:r>
            <w:r>
              <w:rPr>
                <w:b w:val="false"/>
                <w:bCs w:val="false"/>
                <w:i/>
                <w:iCs/>
                <w:sz w:val="17"/>
                <w:szCs w:val="17"/>
              </w:rPr>
              <w:t xml:space="preserve">STAG3</w:t>
            </w:r>
            <w:r>
              <w:rPr>
                <w:b w:val="false"/>
                <w:bCs w:val="false"/>
                <w:sz w:val="17"/>
                <w:szCs w:val="17"/>
              </w:rPr>
              <w:t xml:space="preserve">): virus-active HPV+ vs HPV− AUC</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vs 196)</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0.957 (95% CI 0.90–1.00)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8.1 × 10</w:t>
            </w:r>
            <w:r>
              <w:rPr>
                <w:b w:val="false"/>
                <w:bCs w:val="false"/>
                <w:sz w:val="17"/>
                <w:szCs w:val="17"/>
                <w:vertAlign w:val="superscript"/>
              </w:rPr>
              <w:t xml:space="preserve">−18</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Core-module coherence, transcriptionally silent HPV+ vs size-matched HPV− null</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0.541; null 95% interval −0.003 to 0.299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coherence, virus-active / silent HPV+ vs size-matched nulls</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GSE65858 (35; 25)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ρ = 0.546 / 0.521 (HPV−: 0.179)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0.001 / 0.002 (permutation)</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(41 vs 80)</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0.933 (95% CI 0.87–1.00)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(21 vs 65)</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1.000 (complete separation)</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7.1 × 10</w:t>
            </w:r>
            <w:r>
              <w:rPr>
                <w:b w:val="false"/>
                <w:bCs w:val="false"/>
                <w:sz w:val="17"/>
                <w:szCs w:val="17"/>
                <w:vertAlign w:val="superscript"/>
              </w:rPr>
              <w:t xml:space="preserve">−12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expression score AUC,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(34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AUC = 0.974 (95% CI 0.92–1.00)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7.6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p16 or ISH (main rule)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(44 vs 81)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−0.092; AUC = 0.844 (95% CI 0.76–0.93)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2.3 × 10</w:t>
            </w:r>
            <w:r>
              <w:rPr>
                <w:b w:val="false"/>
                <w:bCs w:val="false"/>
                <w:sz w:val="17"/>
                <w:szCs w:val="17"/>
                <w:vertAlign w:val="superscript"/>
              </w:rPr>
              <w:t xml:space="preserve">−10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by ISH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(22 vs 67)</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−0.116; AUC = 0.964 (95% CI 0.93–1.00)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8.0 × 10</w:t>
            </w:r>
            <w:r>
              <w:rPr>
                <w:b w:val="false"/>
                <w:bCs w:val="false"/>
                <w:sz w:val="17"/>
                <w:szCs w:val="17"/>
                <w:vertAlign w:val="superscript"/>
              </w:rPr>
              <w:t xml:space="preserve">−11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p16 or ISH in oropharyngeal tumours only</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(35 vs 8)</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Δβ = −0.084; AUC = 0.918 (95% CI 0.83–1.00)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MEI1</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−0.126; −0.116</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−6</w:t>
            </w:r>
            <w:r>
              <w:rPr>
                <w:b w:val="false"/>
                <w:bCs w:val="false"/>
                <w:sz w:val="17"/>
                <w:szCs w:val="17"/>
              </w:rPr>
              <w:t xml:space="preserve">; 2.9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SMC1B</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−0.073; −0.048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8.7 × 10</w:t>
            </w:r>
            <w:r>
              <w:rPr>
                <w:b w:val="false"/>
                <w:bCs w:val="false"/>
                <w:sz w:val="17"/>
                <w:szCs w:val="17"/>
                <w:vertAlign w:val="superscript"/>
              </w:rPr>
              <w:t xml:space="preserve">−8</w:t>
            </w:r>
            <w:r>
              <w:rPr>
                <w:b w:val="false"/>
                <w:bCs w:val="false"/>
                <w:sz w:val="17"/>
                <w:szCs w:val="17"/>
              </w:rPr>
              <w:t xml:space="preserve">; 0.056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STAG3</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−0.049; −0.055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7.4 × 10</w:t>
            </w:r>
            <w:r>
              <w:rPr>
                <w:b w:val="false"/>
                <w:bCs w:val="false"/>
                <w:sz w:val="17"/>
                <w:szCs w:val="17"/>
                <w:vertAlign w:val="superscript"/>
              </w:rPr>
              <w:t xml:space="preserve">−4</w:t>
            </w:r>
            <w:r>
              <w:rPr>
                <w:b w:val="false"/>
                <w:bCs w:val="false"/>
                <w:sz w:val="17"/>
                <w:szCs w:val="17"/>
              </w:rPr>
              <w:t xml:space="preserve">; 0.006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SYCP2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−0.207; −0.110</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3.4 × 10</w:t>
            </w:r>
            <w:r>
              <w:rPr>
                <w:b w:val="false"/>
                <w:bCs w:val="false"/>
                <w:sz w:val="17"/>
                <w:szCs w:val="17"/>
                <w:vertAlign w:val="superscript"/>
              </w:rPr>
              <w:t xml:space="preserve">−13</w:t>
            </w:r>
            <w:r>
              <w:rPr>
                <w:b w:val="false"/>
                <w:bCs w:val="false"/>
                <w:sz w:val="17"/>
                <w:szCs w:val="17"/>
              </w:rPr>
              <w:t xml:space="preserve">; 0.001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SYCE2</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−0.007; 0.005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0.40; 0.34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Δβ, </w:t>
            </w:r>
            <w:r>
              <w:rPr>
                <w:b w:val="false"/>
                <w:bCs w:val="false"/>
                <w:i/>
                <w:iCs/>
                <w:sz w:val="17"/>
                <w:szCs w:val="17"/>
              </w:rPr>
              <w:t xml:space="preserve">MAJIN</w:t>
            </w:r>
            <w:r>
              <w:rPr>
                <w:b w:val="false"/>
                <w:bCs w:val="false"/>
                <w:sz w:val="17"/>
                <w:szCs w:val="17"/>
              </w:rPr>
              <w:t xml:space="preserve"> (TCGA; GSE38266)</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44 vs 81;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−0.092; −0.135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9.1 × 10</w:t>
            </w:r>
            <w:r>
              <w:rPr>
                <w:b w:val="false"/>
                <w:bCs w:val="false"/>
                <w:sz w:val="17"/>
                <w:szCs w:val="17"/>
                <w:vertAlign w:val="superscript"/>
              </w:rPr>
              <w:t xml:space="preserve">−6</w:t>
            </w:r>
            <w:r>
              <w:rPr>
                <w:b w:val="false"/>
                <w:bCs w:val="false"/>
                <w:sz w:val="17"/>
                <w:szCs w:val="17"/>
              </w:rPr>
              <w:t xml:space="preserve">; 9.7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Set-level promoter β, 80 core-module probes (HPV+ vs HPV−)</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GSE38266 (21 vs 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0.257 vs 0.334</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1.1 × 10</w:t>
            </w:r>
            <w:r>
              <w:rPr>
                <w:b w:val="false"/>
                <w:bCs w:val="false"/>
                <w:sz w:val="17"/>
                <w:szCs w:val="17"/>
                <w:vertAlign w:val="superscript"/>
              </w:rPr>
              <w:t xml:space="preserve">−6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Promoter methylation vs expression, core-module composites (four-gene)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Spearman ρ = −0.641 (−0.632)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2.2 × 10</w:t>
            </w:r>
            <w:r>
              <w:rPr>
                <w:b w:val="false"/>
                <w:bCs w:val="false"/>
                <w:sz w:val="17"/>
                <w:szCs w:val="17"/>
                <w:vertAlign w:val="superscript"/>
              </w:rPr>
              <w:t xml:space="preserve">−15</w:t>
            </w:r>
            <w:r>
              <w:rPr>
                <w:b w:val="false"/>
                <w:bCs w:val="false"/>
                <w:sz w:val="17"/>
                <w:szCs w:val="17"/>
              </w:rPr>
              <w:t xml:space="preserve"> (8.1 × 10</w:t>
            </w:r>
            <w:r>
              <w:rPr>
                <w:b w:val="false"/>
                <w:bCs w:val="false"/>
                <w:sz w:val="17"/>
                <w:szCs w:val="17"/>
                <w:vertAlign w:val="superscript"/>
              </w:rPr>
              <w:t xml:space="preserve">−15</w:t>
            </w:r>
            <w:r>
              <w:rPr>
                <w:b w:val="false"/>
                <w:bCs w:val="false"/>
                <w:sz w:val="17"/>
                <w:szCs w:val="17"/>
              </w:rPr>
              <w:t xml:space="preserve">)</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−0.100 vs −0.098</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9.4 × 10</w:t>
            </w:r>
            <w:r>
              <w:rPr>
                <w:b w:val="false"/>
                <w:bCs w:val="false"/>
                <w:sz w:val="17"/>
                <w:szCs w:val="17"/>
                <w:vertAlign w:val="superscript"/>
              </w:rPr>
              <w:t xml:space="preserve">−15</w:t>
            </w:r>
            <w:r>
              <w:rPr>
                <w:b w:val="false"/>
                <w:bCs w:val="false"/>
                <w:sz w:val="17"/>
                <w:szCs w:val="17"/>
              </w:rPr>
              <w:t xml:space="preserve"> vs 8.5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Core promoter composite: HPV Δβ unadjusted vs adjusted for CIBERSORTx B + plasma fraction</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(53)</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−0.118 vs −0.129</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 × 10</w:t>
            </w:r>
            <w:r>
              <w:rPr>
                <w:b w:val="false"/>
                <w:bCs w:val="false"/>
                <w:sz w:val="17"/>
                <w:szCs w:val="17"/>
                <w:vertAlign w:val="superscript"/>
              </w:rPr>
              <w:t xml:space="preserve">−7</w:t>
            </w:r>
            <w:r>
              <w:rPr>
                <w:b w:val="false"/>
                <w:bCs w:val="false"/>
                <w:sz w:val="17"/>
                <w:szCs w:val="17"/>
              </w:rPr>
              <w:t xml:space="preserve"> vs 1.2 × 10</w:t>
            </w:r>
            <w:r>
              <w:rPr>
                <w:b w:val="false"/>
                <w:bCs w:val="false"/>
                <w:sz w:val="17"/>
                <w:szCs w:val="17"/>
                <w:vertAlign w:val="superscript"/>
              </w:rPr>
              <w:t xml:space="preserve">−7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Four-gene promoter composite: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−0.102 vs −0.103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3.8 × 10</w:t>
            </w:r>
            <w:r>
              <w:rPr>
                <w:b w:val="false"/>
                <w:bCs w:val="false"/>
                <w:sz w:val="17"/>
                <w:szCs w:val="17"/>
                <w:vertAlign w:val="superscript"/>
              </w:rPr>
              <w:t xml:space="preserve">−15</w:t>
            </w:r>
            <w:r>
              <w:rPr>
                <w:b w:val="false"/>
                <w:bCs w:val="false"/>
                <w:sz w:val="17"/>
                <w:szCs w:val="17"/>
              </w:rPr>
              <w:t xml:space="preserve"> vs 1.2 × 10</w:t>
            </w:r>
            <w:r>
              <w:rPr>
                <w:b w:val="false"/>
                <w:bCs w:val="false"/>
                <w:sz w:val="17"/>
                <w:szCs w:val="17"/>
                <w:vertAlign w:val="superscript"/>
              </w:rPr>
              <w:t xml:space="preserve">−13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r>
              <w:rPr>
                <w:b w:val="false"/>
                <w:bCs w:val="false"/>
                <w:sz w:val="17"/>
                <w:szCs w:val="17"/>
              </w:rPr>
              <w:t xml:space="preserve"> promoter: HPV Δβ unadjusted vs adjusted for B/plasma marker score</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TCGA-HNSC (121)</w:t>
            </w:r>
          </w:p>
        </w:tc>
        <w:tc>
          <w:tcPr>
            <w:tcW w:type="dxa" w:w="308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−0.137 vs −0.115</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4.1 × 10</w:t>
            </w:r>
            <w:r>
              <w:rPr>
                <w:b w:val="false"/>
                <w:bCs w:val="false"/>
                <w:sz w:val="17"/>
                <w:szCs w:val="17"/>
                <w:vertAlign w:val="superscript"/>
              </w:rPr>
              <w:t xml:space="preserve">−10</w:t>
            </w:r>
            <w:r>
              <w:rPr>
                <w:b w:val="false"/>
                <w:bCs w:val="false"/>
                <w:sz w:val="17"/>
                <w:szCs w:val="17"/>
              </w:rPr>
              <w:t xml:space="preserve"> vs 2.9 × 10</w:t>
            </w:r>
            <w:r>
              <w:rPr>
                <w:b w:val="false"/>
                <w:bCs w:val="false"/>
                <w:sz w:val="17"/>
                <w:szCs w:val="17"/>
                <w:vertAlign w:val="superscript"/>
              </w:rPr>
              <w:t xml:space="preserve">−7</w:t>
            </w:r>
          </w:p>
        </w:tc>
      </w:tr>
    </w:tbl>
    <w:p>
      <w:pPr>
        <w:spacing w:after="120"/>
      </w:pPr>
    </w:p>
    <w:p>
      <w:pPr>
        <w:keepNext/>
        <w:spacing w:after="80" w:before="200"/>
      </w:pPr>
      <w:r>
        <w:rPr>
          <w:b/>
          <w:bCs/>
          <w:sz w:val="18"/>
          <w:szCs w:val="18"/>
        </w:rPr>
        <w:t xml:space="preserve">Supplementary Table S6.</w:t>
      </w:r>
      <w:r>
        <w:rPr>
          <w:sz w:val="18"/>
          <w:szCs w:val="18"/>
        </w:rPr>
        <w:t xml:space="preserve"> CIBERSORTx (LM22) estimated fractions of all 22 immune-cell populations in HPV+ (n = 36) and HPV− (n = 243) TCGA-HNSC tumours. Wilcoxon rank-sum test; Benjamini–Hochberg FDR across the 22 populations.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542"/>
        <w:gridCol w:w="1542"/>
        <w:gridCol w:w="1638"/>
        <w:gridCol w:w="1640"/>
      </w:tblGrid>
      <w:tr>
        <w:trPr>
          <w:tblHeader/>
        </w:trPr>
        <w:tc>
          <w:tcPr>
            <w:tcW w:type="dxa" w:w="327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Population</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 HPV−</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c>
          <w:tcPr>
            <w:tcW w:type="dxa" w:w="1640"/>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FDR</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0.131</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 × 10</w:t>
            </w:r>
            <w:r>
              <w:rPr>
                <w:b w:val="false"/>
                <w:bCs w:val="false"/>
                <w:sz w:val="17"/>
                <w:szCs w:val="17"/>
                <w:vertAlign w:val="superscript"/>
              </w:rPr>
              <w:t xml:space="preserve">−6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5.6 × 10</w:t>
            </w:r>
            <w:r>
              <w:rPr>
                <w:b w:val="false"/>
                <w:bCs w:val="false"/>
                <w:sz w:val="17"/>
                <w:szCs w:val="17"/>
                <w:vertAlign w:val="superscript"/>
              </w:rPr>
              <w:t xml:space="preserve">−5</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0.488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7.4 × 10</w:t>
            </w:r>
            <w:r>
              <w:rPr>
                <w:b w:val="false"/>
                <w:bCs w:val="false"/>
                <w:sz w:val="17"/>
                <w:szCs w:val="17"/>
                <w:vertAlign w:val="superscript"/>
              </w:rPr>
              <w:t xml:space="preserve">−5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8.1 × 10</w:t>
            </w:r>
            <w:r>
              <w:rPr>
                <w:b w:val="false"/>
                <w:bCs w:val="false"/>
                <w:sz w:val="17"/>
                <w:szCs w:val="17"/>
                <w:vertAlign w:val="superscript"/>
              </w:rPr>
              <w:t xml:space="preserve">−4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CD8</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2.8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 × 10</w:t>
            </w:r>
            <w:r>
              <w:rPr>
                <w:b w:val="false"/>
                <w:bCs w:val="false"/>
                <w:sz w:val="17"/>
                <w:szCs w:val="17"/>
                <w:vertAlign w:val="superscript"/>
              </w:rPr>
              <w:t xml:space="preserve">−4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0.068</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0.059</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0.077</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Monocytes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NK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follicular helper</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0.260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regulatory (Tregs)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0.283</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0.179</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 cells memory</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0.014</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0.200</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0.205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0.322</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Mast cells resting</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0.064</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0.067</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0.287</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0.421</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naive</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0.374</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0.514</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Macrophages M1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0.049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0.585</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0.756</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gamma delta</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Eosinophils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Dendritic cells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0.000</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 cells CD4 memory activated</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0.003</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0.792</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0.830</w:t>
            </w:r>
          </w:p>
        </w:tc>
      </w:tr>
      <w:tr>
        <w:trPr>
          <w:cantSplit/>
        </w:trPr>
        <w:tc>
          <w:tcPr>
            <w:tcW w:type="dxa" w:w="327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Neutrophils</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0.009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c>
          <w:tcPr>
            <w:tcW w:type="dxa" w:w="164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0.898</w:t>
            </w:r>
          </w:p>
        </w:tc>
      </w:tr>
    </w:tbl>
    <w:p>
      <w:pPr>
        <w:spacing w:after="120"/>
      </w:pPr>
    </w:p>
    <w:p>
      <w:pPr>
        <w:keepNext/>
        <w:spacing w:after="80" w:before="200"/>
      </w:pPr>
      <w:r>
        <w:rPr>
          <w:b/>
          <w:bCs/>
          <w:sz w:val="18"/>
          <w:szCs w:val="18"/>
        </w:rPr>
        <w:t xml:space="preserve">Supplementary Table S7.</w:t>
      </w:r>
      <w:r>
        <w:rPr>
          <w:sz w:val="18"/>
          <w:szCs w:val="18"/>
        </w:rPr>
        <w:t xml:space="preserve"> Log</w:t>
      </w:r>
      <w:r>
        <w:rPr>
          <w:sz w:val="18"/>
          <w:szCs w:val="18"/>
          <w:vertAlign w:val="subscript"/>
        </w:rPr>
        <w:t xml:space="preserve">2</w:t>
      </w:r>
      <w:r>
        <w:rPr>
          <w:sz w:val="18"/>
          <w:szCs w:val="18"/>
        </w:rPr>
        <w:t xml:space="preserve"> CD8/M2 macrophage ratio (exploratory) by HPV status; Wilcoxon rank-sum P = 1.0 × 10</w:t>
      </w:r>
      <w:r>
        <w:rPr>
          <w:sz w:val="18"/>
          <w:szCs w:val="18"/>
          <w:vertAlign w:val="superscript"/>
        </w:rPr>
        <w:t xml:space="preserve">−4</w:t>
      </w:r>
      <w:r>
        <w:rPr>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542"/>
        <w:gridCol w:w="1927"/>
        <w:gridCol w:w="1927"/>
        <w:gridCol w:w="1929"/>
      </w:tblGrid>
      <w:tr>
        <w:trPr>
          <w:tblHeader/>
        </w:trPr>
        <w:tc>
          <w:tcPr>
            <w:tcW w:type="dxa" w:w="2313"/>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Group</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Median</w:t>
            </w:r>
          </w:p>
        </w:tc>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Q1</w:t>
            </w:r>
          </w:p>
        </w:tc>
        <w:tc>
          <w:tcPr>
            <w:tcW w:type="dxa" w:w="192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Q3</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243</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0.78</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−0.63</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3.16</w:t>
            </w:r>
          </w:p>
        </w:tc>
      </w:tr>
      <w:tr>
        <w:trPr>
          <w:cantSplit/>
        </w:trPr>
        <w:tc>
          <w:tcPr>
            <w:tcW w:type="dxa" w:w="2313"/>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HPV+</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36</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3.29</w:t>
            </w:r>
          </w:p>
        </w:tc>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1.82</w:t>
            </w:r>
          </w:p>
        </w:tc>
        <w:tc>
          <w:tcPr>
            <w:tcW w:type="dxa" w:w="192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15.35</w:t>
            </w:r>
          </w:p>
        </w:tc>
      </w:tr>
    </w:tbl>
    <w:p>
      <w:pPr>
        <w:spacing w:after="120"/>
      </w:pPr>
    </w:p>
    <w:p>
      <w:pPr>
        <w:keepNext/>
        <w:spacing w:after="80" w:before="200"/>
      </w:pPr>
      <w:r>
        <w:rPr>
          <w:b/>
          <w:bCs/>
          <w:sz w:val="18"/>
          <w:szCs w:val="18"/>
        </w:rPr>
        <w:t xml:space="preserve">Supplementary Table S8.</w:t>
      </w:r>
      <w:r>
        <w:rPr>
          <w:sz w:val="18"/>
          <w:szCs w:val="18"/>
        </w:rPr>
        <w:t xml:space="preserve"> Spearman correlation between CIBERSORTx-estimated fractions and lineage marker-gene expression (n = 279). </w:t>
      </w:r>
      <w:r>
        <w:rPr>
          <w:i/>
          <w:iCs/>
          <w:sz w:val="18"/>
          <w:szCs w:val="18"/>
        </w:rPr>
        <w:t xml:space="preserve">CD8A</w:t>
      </w:r>
      <w:r>
        <w:rPr>
          <w:sz w:val="18"/>
          <w:szCs w:val="18"/>
        </w:rPr>
        <w:t xml:space="preserve"> and </w:t>
      </w:r>
      <w:r>
        <w:rPr>
          <w:i/>
          <w:iCs/>
          <w:sz w:val="18"/>
          <w:szCs w:val="18"/>
        </w:rPr>
        <w:t xml:space="preserve">CD8B</w:t>
      </w:r>
      <w:r>
        <w:rPr>
          <w:sz w:val="18"/>
          <w:szCs w:val="18"/>
        </w:rPr>
        <w:t xml:space="preserve">, log</w:t>
      </w:r>
      <w:r>
        <w:rPr>
          <w:sz w:val="18"/>
          <w:szCs w:val="18"/>
          <w:vertAlign w:val="subscript"/>
        </w:rPr>
        <w:t xml:space="preserve">2</w:t>
      </w:r>
      <w:r>
        <w:rPr>
          <w:sz w:val="18"/>
          <w:szCs w:val="18"/>
        </w:rPr>
        <w:t xml:space="preserve">(DESeq2-normalised count + 1), as in Supplementary Fig. S5 (Spearman ρ is rank-based and identical for variance-stabilised values); </w:t>
      </w:r>
      <w:r>
        <w:rPr>
          <w:i/>
          <w:iCs/>
          <w:sz w:val="18"/>
          <w:szCs w:val="18"/>
        </w:rPr>
        <w:t xml:space="preserve">IGHM</w:t>
      </w:r>
      <w:r>
        <w:rPr>
          <w:sz w:val="18"/>
          <w:szCs w:val="18"/>
        </w:rPr>
        <w:t xml:space="preserve"> and </w:t>
      </w:r>
      <w:r>
        <w:rPr>
          <w:i/>
          <w:iCs/>
          <w:sz w:val="18"/>
          <w:szCs w:val="18"/>
        </w:rPr>
        <w:t xml:space="preserve">MS4A1</w:t>
      </w:r>
      <w:r>
        <w:rPr>
          <w:sz w:val="18"/>
          <w:szCs w:val="18"/>
        </w:rPr>
        <w:t xml:space="preserve">, TPM values supplied to CIBERSORTx.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156"/>
        <w:gridCol w:w="3469"/>
        <w:gridCol w:w="1349"/>
        <w:gridCol w:w="1737"/>
      </w:tblGrid>
      <w:tr>
        <w:trPr>
          <w:tblHeader/>
        </w:trPr>
        <w:tc>
          <w:tcPr>
            <w:tcW w:type="dxa" w:w="192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Cell population</w:t>
            </w:r>
          </w:p>
        </w:tc>
        <w:tc>
          <w:tcPr>
            <w:tcW w:type="dxa" w:w="1156"/>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Marker</w:t>
            </w:r>
          </w:p>
        </w:tc>
        <w:tc>
          <w:tcPr>
            <w:tcW w:type="dxa" w:w="346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Expression</w:t>
            </w:r>
          </w:p>
        </w:tc>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Spearman ρ</w:t>
            </w:r>
          </w:p>
        </w:tc>
        <w:tc>
          <w:tcPr>
            <w:tcW w:type="dxa" w:w="1737"/>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CD8A</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0.735</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1.2 × 10</w:t>
            </w:r>
            <w:r>
              <w:rPr>
                <w:b w:val="false"/>
                <w:bCs w:val="false"/>
                <w:sz w:val="17"/>
                <w:szCs w:val="17"/>
                <w:vertAlign w:val="superscript"/>
              </w:rPr>
              <w:t xml:space="preserve">−48</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CD8+ T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CD8B</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log</w:t>
            </w:r>
            <w:r>
              <w:rPr>
                <w:b w:val="false"/>
                <w:bCs w:val="false"/>
                <w:sz w:val="17"/>
                <w:szCs w:val="17"/>
                <w:vertAlign w:val="subscript"/>
              </w:rPr>
              <w:t xml:space="preserve">2</w:t>
            </w:r>
            <w:r>
              <w:rPr>
                <w:b w:val="false"/>
                <w:bCs w:val="false"/>
                <w:sz w:val="17"/>
                <w:szCs w:val="17"/>
              </w:rPr>
              <w:t xml:space="preserve">(DESeq2-normalised count + 1)</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0.689</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 × 10</w:t>
            </w:r>
            <w:r>
              <w:rPr>
                <w:b w:val="false"/>
                <w:bCs w:val="false"/>
                <w:sz w:val="17"/>
                <w:szCs w:val="17"/>
                <w:vertAlign w:val="superscript"/>
              </w:rPr>
              <w:t xml:space="preserve">−40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IGHM</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0.913</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−110</w:t>
            </w:r>
          </w:p>
        </w:tc>
      </w:tr>
      <w:tr>
        <w:trPr>
          <w:cantSplit/>
        </w:trPr>
        <w:tc>
          <w:tcPr>
            <w:tcW w:type="dxa" w:w="192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Plasma cells</w:t>
            </w:r>
          </w:p>
        </w:tc>
        <w:tc>
          <w:tcPr>
            <w:tcW w:type="dxa" w:w="1156"/>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MS4A1</w:t>
            </w:r>
          </w:p>
        </w:tc>
        <w:tc>
          <w:tcPr>
            <w:tcW w:type="dxa" w:w="346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TPM</w:t>
            </w:r>
          </w:p>
        </w:tc>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0.590</w:t>
            </w:r>
          </w:p>
        </w:tc>
        <w:tc>
          <w:tcPr>
            <w:tcW w:type="dxa" w:w="1737"/>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1.4 × 10</w:t>
            </w:r>
            <w:r>
              <w:rPr>
                <w:b w:val="false"/>
                <w:bCs w:val="false"/>
                <w:sz w:val="17"/>
                <w:szCs w:val="17"/>
                <w:vertAlign w:val="superscript"/>
              </w:rPr>
              <w:t xml:space="preserve">−27</w:t>
            </w:r>
          </w:p>
        </w:tc>
      </w:tr>
    </w:tbl>
    <w:p>
      <w:pPr>
        <w:spacing w:after="120"/>
      </w:pPr>
    </w:p>
    <w:p>
      <w:pPr>
        <w:keepNext/>
        <w:spacing w:after="80" w:before="200"/>
      </w:pPr>
      <w:r>
        <w:rPr>
          <w:b/>
          <w:bCs/>
          <w:sz w:val="18"/>
          <w:szCs w:val="18"/>
        </w:rPr>
        <w:t xml:space="preserve">Supplementary Table S9.</w:t>
      </w:r>
      <w:r>
        <w:rPr>
          <w:sz w:val="18"/>
          <w:szCs w:val="18"/>
        </w:rPr>
        <w:t xml:space="preserve"> Malignant-cell specificity of the six core genes in GSE181919. Detection rates are percentages of cells; the specificity ratio is detection in malignant cells divided by detection in the highest-detecting non-malignant cell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1734"/>
        <w:gridCol w:w="1734"/>
        <w:gridCol w:w="1734"/>
        <w:gridCol w:w="1545"/>
      </w:tblGrid>
      <w:tr>
        <w:trPr>
          <w:tblHeader/>
        </w:trPr>
        <w:tc>
          <w:tcPr>
            <w:tcW w:type="dxa" w:w="13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Malignant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Highest other (%)</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That cell type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Specificity ratio</w:t>
            </w:r>
          </w:p>
        </w:tc>
        <w:tc>
          <w:tcPr>
            <w:tcW w:type="dxa" w:w="15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Four-gene score</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10.96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SYCP2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7.68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MAJIN</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Endothelial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6.86</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SYCE2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5.1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T</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2.51</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Yes</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15.4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13.1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1.18</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No</w:t>
            </w:r>
          </w:p>
        </w:tc>
      </w:tr>
      <w:tr>
        <w:trPr>
          <w:cantSplit/>
        </w:trPr>
        <w:tc>
          <w:tcPr>
            <w:tcW w:type="dxa" w:w="13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MEI1</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8.2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37.4</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B/plasma</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0.22</w:t>
            </w:r>
          </w:p>
        </w:tc>
        <w:tc>
          <w:tcPr>
            <w:tcW w:type="dxa" w:w="15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No</w:t>
            </w:r>
          </w:p>
        </w:tc>
      </w:tr>
    </w:tbl>
    <w:p>
      <w:pPr>
        <w:spacing w:after="120"/>
      </w:pPr>
    </w:p>
    <w:p>
      <w:pPr>
        <w:keepNext/>
        <w:spacing w:after="80" w:before="200"/>
      </w:pPr>
      <w:r>
        <w:rPr>
          <w:b/>
          <w:bCs/>
          <w:sz w:val="18"/>
          <w:szCs w:val="18"/>
        </w:rPr>
        <w:t xml:space="preserve">Supplementary Table S10.</w:t>
      </w:r>
      <w:r>
        <w:rPr>
          <w:sz w:val="18"/>
          <w:szCs w:val="18"/>
        </w:rPr>
        <w:t xml:space="preserve"> HPV effect on the per-tumour four-gene meiosis-specific score before and after adjustment for proliferation, by cohort and pooled (linear models on per-tumour means; n, tumours).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674"/>
        <w:gridCol w:w="1638"/>
        <w:gridCol w:w="1638"/>
        <w:gridCol w:w="1542"/>
        <w:gridCol w:w="1252"/>
        <w:gridCol w:w="1449"/>
      </w:tblGrid>
      <w:tr>
        <w:trPr>
          <w:tblHeader/>
        </w:trPr>
        <w:tc>
          <w:tcPr>
            <w:tcW w:type="dxa" w:w="1445"/>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Cohort</w:t>
            </w:r>
          </w:p>
        </w:tc>
        <w:tc>
          <w:tcPr>
            <w:tcW w:type="dxa" w:w="67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n</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Model</w:t>
            </w:r>
          </w:p>
        </w:tc>
        <w:tc>
          <w:tcPr>
            <w:tcW w:type="dxa" w:w="163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HPV β (SE)</w:t>
            </w:r>
          </w:p>
        </w:tc>
        <w:tc>
          <w:tcPr>
            <w:tcW w:type="dxa" w:w="154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(HPV)</w:t>
            </w:r>
          </w:p>
        </w:tc>
        <w:tc>
          <w:tcPr>
            <w:tcW w:type="dxa" w:w="1252"/>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Proliferation β</w:t>
            </w:r>
          </w:p>
        </w:tc>
        <w:tc>
          <w:tcPr>
            <w:tcW w:type="dxa" w:w="1449"/>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(proliferation)</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0.112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2.9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GSE181919</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19</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0.105 (0.025)</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6.5 × 10</w:t>
            </w:r>
            <w:r>
              <w:rPr>
                <w:b w:val="false"/>
                <w:bCs w:val="false"/>
                <w:sz w:val="17"/>
                <w:szCs w:val="17"/>
                <w:vertAlign w:val="superscript"/>
              </w:rPr>
              <w:t xml:space="preserve">−4</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0.180</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0.23</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0.176 (0.047)</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0.002</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GSE182227</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16</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0.115 (0.040)</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0.01</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0.414</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0.005</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Unadjusted</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0.141 (0.026)</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4.5 × 10</w:t>
            </w:r>
            <w:r>
              <w:rPr>
                <w:b w:val="false"/>
                <w:bCs w:val="false"/>
                <w:sz w:val="17"/>
                <w:szCs w:val="17"/>
                <w:vertAlign w:val="superscript"/>
              </w:rPr>
              <w:t xml:space="preserve">−6</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n/a</w:t>
            </w:r>
          </w:p>
        </w:tc>
      </w:tr>
      <w:tr>
        <w:trPr>
          <w:cantSplit/>
        </w:trPr>
        <w:tc>
          <w:tcPr>
            <w:tcW w:type="dxa" w:w="1445"/>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Pooled</w:t>
            </w:r>
          </w:p>
        </w:tc>
        <w:tc>
          <w:tcPr>
            <w:tcW w:type="dxa" w:w="67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35</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 Proliferation</w:t>
            </w:r>
          </w:p>
        </w:tc>
        <w:tc>
          <w:tcPr>
            <w:tcW w:type="dxa" w:w="163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0.109 (0.022)</w:t>
            </w:r>
          </w:p>
        </w:tc>
        <w:tc>
          <w:tcPr>
            <w:tcW w:type="dxa" w:w="154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2.7 × 10</w:t>
            </w:r>
            <w:r>
              <w:rPr>
                <w:b w:val="false"/>
                <w:bCs w:val="false"/>
                <w:sz w:val="17"/>
                <w:szCs w:val="17"/>
                <w:vertAlign w:val="superscript"/>
              </w:rPr>
              <w:t xml:space="preserve">−5</w:t>
            </w:r>
          </w:p>
        </w:tc>
        <w:tc>
          <w:tcPr>
            <w:tcW w:type="dxa" w:w="1252"/>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0.359</w:t>
            </w:r>
          </w:p>
        </w:tc>
        <w:tc>
          <w:tcPr>
            <w:tcW w:type="dxa" w:w="1449"/>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2.8 × 10</w:t>
            </w:r>
            <w:r>
              <w:rPr>
                <w:b w:val="false"/>
                <w:bCs w:val="false"/>
                <w:sz w:val="17"/>
                <w:szCs w:val="17"/>
                <w:vertAlign w:val="superscript"/>
              </w:rPr>
              <w:t xml:space="preserve">−4</w:t>
            </w:r>
          </w:p>
        </w:tc>
      </w:tr>
    </w:tbl>
    <w:p>
      <w:pPr>
        <w:spacing w:after="120"/>
      </w:pPr>
    </w:p>
    <w:p>
      <w:pPr>
        <w:keepNext/>
        <w:spacing w:after="80" w:before="200"/>
      </w:pPr>
      <w:r>
        <w:rPr>
          <w:b/>
          <w:bCs/>
          <w:sz w:val="18"/>
          <w:szCs w:val="18"/>
        </w:rPr>
        <w:t xml:space="preserve">Supplementary Table S11.</w:t>
      </w:r>
      <w:r>
        <w:rPr>
          <w:sz w:val="18"/>
          <w:szCs w:val="18"/>
        </w:rPr>
        <w:t xml:space="preserve"> Exploratory univariable Cox proportional-hazards models of overall survival (TCGA-HNSC, n = 279; 140 deaths). HR per standard deviation of variance-stabilised expression. Models are not adjusted for HPV status, stage, smoking or treatment, and P values are not corrected for multiple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734"/>
        <w:gridCol w:w="2698"/>
        <w:gridCol w:w="2508"/>
      </w:tblGrid>
      <w:tr>
        <w:trPr>
          <w:tblHeader/>
        </w:trPr>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Gene</w:t>
            </w:r>
          </w:p>
        </w:tc>
        <w:tc>
          <w:tcPr>
            <w:tcW w:type="dxa" w:w="1734"/>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HR</w:t>
            </w:r>
          </w:p>
        </w:tc>
        <w:tc>
          <w:tcPr>
            <w:tcW w:type="dxa" w:w="269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95% CI</w:t>
            </w:r>
          </w:p>
        </w:tc>
        <w:tc>
          <w:tcPr>
            <w:tcW w:type="dxa" w:w="2508"/>
            <w:tcBorders>
              <w:top w:val="single" w:color="999999" w:sz="4"/>
              <w:left w:val="single" w:color="999999" w:sz="4"/>
              <w:bottom w:val="single" w:color="999999" w:sz="4"/>
              <w:right w:val="single" w:color="999999" w:sz="4"/>
            </w:tcBorders>
            <w:shd w:fill="E8EEF4" w:color="auto" w:val="clear"/>
            <w:tcMar>
              <w:top w:type="dxa" w:w="50"/>
              <w:left w:type="dxa" w:w="90"/>
              <w:bottom w:type="dxa" w:w="50"/>
              <w:right w:type="dxa" w:w="90"/>
            </w:tcMar>
          </w:tcPr>
          <w:p>
            <w:pPr>
              <w:keepNext/>
            </w:pPr>
            <w:r>
              <w:rPr>
                <w:b/>
                <w:bCs/>
                <w:sz w:val="17"/>
                <w:szCs w:val="17"/>
              </w:rPr>
              <w:t xml:space="preserve">P (nominal)</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ZFR2</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0.56–0.87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0.0014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STAG3</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0.77</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0.0064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TAF7L</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0.75</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0.61–0.93</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0.0084</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GBX1</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0.57–0.92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0.0089</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LOC375196</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0.79</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0.65–0.97</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0.022</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GRIN2C</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0.69–0.98</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0.031</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SMC1B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0.82</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0.68–0.99</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0.036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i/>
                <w:iCs/>
                <w:sz w:val="17"/>
                <w:szCs w:val="17"/>
              </w:rPr>
              <w:t xml:space="preserve">TDRD10</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0.84</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0.70–1.00</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b w:val="false"/>
                <w:bCs w:val="false"/>
                <w:sz w:val="17"/>
                <w:szCs w:val="17"/>
              </w:rPr>
              <w:t xml:space="preserve">0.056</w:t>
            </w:r>
          </w:p>
        </w:tc>
      </w:tr>
      <w:tr>
        <w:trPr>
          <w:cantSplit/>
        </w:trPr>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i/>
                <w:iCs/>
                <w:sz w:val="17"/>
                <w:szCs w:val="17"/>
              </w:rPr>
              <w:t xml:space="preserve">RAD9B</w:t>
            </w:r>
          </w:p>
        </w:tc>
        <w:tc>
          <w:tcPr>
            <w:tcW w:type="dxa" w:w="1734"/>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0.86</w:t>
            </w:r>
          </w:p>
        </w:tc>
        <w:tc>
          <w:tcPr>
            <w:tcW w:type="dxa" w:w="269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0.73–1.02</w:t>
            </w:r>
          </w:p>
        </w:tc>
        <w:tc>
          <w:tcPr>
            <w:tcW w:type="dxa" w:w="2508"/>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val="false"/>
            </w:pPr>
            <w:r>
              <w:rPr>
                <w:b w:val="false"/>
                <w:bCs w:val="false"/>
                <w:sz w:val="17"/>
                <w:szCs w:val="17"/>
              </w:rPr>
              <w:t xml:space="preserve">0.081</w:t>
            </w:r>
          </w:p>
        </w:tc>
      </w:tr>
    </w:tbl>
    <w:p>
      <w:pPr>
        <w:spacing w:after="120"/>
      </w:pPr>
    </w:p>
    <w:p>
      <w:pPr>
        <w:pStyle w:val="Heading2"/>
        <w:pageBreakBefore/>
        <w:spacing w:after="100" w:before="200"/>
      </w:pPr>
      <w:r>
        <w:t xml:space="preserve">Supplementary data files</w:t>
      </w:r>
    </w:p>
    <w:p>
      <w:pPr>
        <w:spacing w:after="140" w:line="288"/>
      </w:pPr>
      <w:r>
        <w:t xml:space="preserve">Complete DESeq2 results, unadjusted and site-adjusted (HNSC_DESeq2_All_Results.csv; HNSC_DESeq2_PrimarySite_Adjusted_All_Results.csv). GO, KEGG and GSEA results (HNSC_HPV_GO_Upregulated.csv; HNSC_HPV_GO_Downregulated.csv; HNSC_HPV_KEGG_Upregulated.csv; HNSC_HPV_KEGG_Downregulated.csv; HNSC_HPV_GSEA.csv). The 95-gene panel with category assignments (cta_geneset.csv). CIBERSORTx fractions for all samples (CIBERSORTx_Job14_Results.csv). Review sensitivity analyses (results/review_sensitivity/: GSE65858_core_module_CIs_and_nulls.json; TCGA_GSE38266_methylation_sensitivity.json; GSE182227_AUC_CI.json).</w:t>
      </w:r>
    </w:p>
    <w:sectPr>
      <w:footerReference w:type="default" r:id="rId1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theme" Target="theme/theme1.xml"/><Relationship Id="rId20" Type="http://schemas.openxmlformats.org/officeDocument/2006/relationships/image" Target="media/b7639fe627b04522326ad32ad704e08ed0807bbc.png"/><Relationship Id="rId21" Type="http://schemas.openxmlformats.org/officeDocument/2006/relationships/image" Target="media/ef17e6ea64f6f4afad6ecce76549fdd2b815a383.png"/><Relationship Id="rId22" Type="http://schemas.openxmlformats.org/officeDocument/2006/relationships/image" Target="media/0c1bee960b37a26f9cc7fbbf8b8d8fd977df4cd0.png"/><Relationship Id="rId23" Type="http://schemas.openxmlformats.org/officeDocument/2006/relationships/image" Target="media/0896e7b447678e3c33c67d5cacfdb0bfba4f78a1.png"/><Relationship Id="rId24" Type="http://schemas.openxmlformats.org/officeDocument/2006/relationships/image" Target="media/282a6f4d25fb2ee66164ee736dbf8e7832525096.png"/><Relationship Id="rId25" Type="http://schemas.openxmlformats.org/officeDocument/2006/relationships/image" Target="media/a0b86110c22608f6fb5fc01b74ef549228fffcfa.png"/><Relationship Id="rId26" Type="http://schemas.openxmlformats.org/officeDocument/2006/relationships/image" Target="media/8a098a26ae1d63897479f459e211ca66f761afb0.png"/><Relationship Id="rId27" Type="http://schemas.openxmlformats.org/officeDocument/2006/relationships/image" Target="media/80835cf801b90539ff50ee48b816cf421b9dbf7d.png"/><Relationship Id="rId28" Type="http://schemas.openxmlformats.org/officeDocument/2006/relationships/image" Target="media/b8f2fa2bd41281d984ce2f7259366ef06284c766.png"/><Relationship Id="rId29" Type="http://schemas.openxmlformats.org/officeDocument/2006/relationships/image" Target="media/fdb0d183fc27ef52cdbdd8ea6ca53f03401de85f.png"/><Relationship Id="rId30" Type="http://schemas.openxmlformats.org/officeDocument/2006/relationships/image" Target="media/55310f06aa6998eb266608c96fab3d0c4025b258.png"/><Relationship Id="rId31" Type="http://schemas.openxmlformats.org/officeDocument/2006/relationships/image" Target="media/244a0febb581c7ea3a3a4e5259225fb65855ddfa.png"/><Relationship Id="rId32" Type="http://schemas.openxmlformats.org/officeDocument/2006/relationships/image" Target="media/2abb6f04bd6b49f84458f2c40d866137138a1fd6.png"/><Relationship Id="rId33" Type="http://schemas.openxmlformats.org/officeDocument/2006/relationships/image" Target="media/68020184b6d13fec56b30dc9d98984113704cda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Transcriptionally active HPV-positive HNSCC and a coordinated meiotic gene programme</dc:title>
  <dc:creator>TCGA-HNSC-HPV-Transcriptomics</dc:creator>
  <cp:lastModifiedBy>TCGA-HNSC-HPV-Transcriptomics</cp:lastModifiedBy>
  <cp:revision>1</cp:revision>
  <dcterms:created xsi:type="dcterms:W3CDTF">2026-10-27T05:38:37.341Z</dcterms:created>
  <dcterms:modified xsi:type="dcterms:W3CDTF">2026-10-27T05:38:37.342Z</dcterms:modified>
</cp:coreProperties>
</file>

<file path=docProps/custom.xml><?xml version="1.0" encoding="utf-8"?>
<Properties xmlns="http://schemas.openxmlformats.org/officeDocument/2006/custom-properties" xmlns:vt="http://schemas.openxmlformats.org/officeDocument/2006/docPropsVTypes"/>
</file>