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spacing w:after="140" w:line="288"/>
        <w:jc w:val="center"/>
      </w:pPr>
      <w:r>
        <w:t xml:space="preserve">Suganth Gopinath Sangeetha</w:t>
      </w:r>
      <w:r>
        <w:rPr>
          <w:vertAlign w:val="superscript"/>
        </w:rPr>
        <w:t xml:space="preserve">1#</w:t>
      </w:r>
      <w:r>
        <w:t xml:space="preserve">,  Rejoy Besra</w:t>
      </w:r>
      <w:r>
        <w:rPr>
          <w:vertAlign w:val="superscript"/>
        </w:rPr>
        <w:t xml:space="preserve">2#</w:t>
      </w:r>
      <w:r>
        <w:t xml:space="preserve">, Naisarg Patel</w:t>
      </w:r>
      <w:r>
        <w:rPr>
          <w:vertAlign w:val="superscript"/>
        </w:rPr>
        <w:t xml:space="preserve">3</w:t>
      </w:r>
      <w:r>
        <w:t xml:space="preserve">, Prakash Lingasamy</w:t>
      </w:r>
      <w:r>
        <w:rPr>
          <w:vertAlign w:val="superscript"/>
        </w:rPr>
        <w:t xml:space="preserve">4,5</w:t>
      </w:r>
      <w:r>
        <w:t xml:space="preserve">, Vino Sundararajan</w:t>
      </w:r>
      <w:r>
        <w:rPr>
          <w:vertAlign w:val="superscript"/>
        </w:rPr>
        <w:t xml:space="preserve">1</w:t>
      </w:r>
      <w:r>
        <w:t xml:space="preserve">, Sajitha Lulu S</w:t>
      </w:r>
      <w:r>
        <w:rPr>
          <w:vertAlign w:val="superscript"/>
        </w:rPr>
        <w:t xml:space="preserve">1</w:t>
      </w:r>
      <w:r>
        <w:t xml:space="preserve">, Andres Salumets</w:t>
      </w:r>
      <w:r>
        <w:rPr>
          <w:vertAlign w:val="superscript"/>
        </w:rPr>
        <w:t xml:space="preserve">3,6,7*</w:t>
      </w:r>
      <w:r>
        <w:t xml:space="preserve">, Vijayachitra Modhukur</w:t>
      </w:r>
      <w:r>
        <w:rPr>
          <w:vertAlign w:val="superscript"/>
        </w:rPr>
        <w:t xml:space="preserve">3,6*</w:t>
      </w:r>
    </w:p>
    <w:p>
      <w:pPr>
        <w:spacing w:after="40"/>
      </w:pPr>
      <w:r>
        <w:rPr>
          <w:vertAlign w:val="superscript"/>
        </w:rPr>
        <w:t xml:space="preserve">1</w:t>
      </w:r>
      <w:r>
        <w:t xml:space="preserve"> Integrative Multiomics Lab, School of Bio Sciences and Technology, Vellore Institute of Technology, Vellore, Tamil Nadu, India</w:t>
      </w:r>
    </w:p>
    <w:p>
      <w:pPr>
        <w:spacing w:after="40"/>
      </w:pPr>
      <w:r>
        <w:rPr>
          <w:vertAlign w:val="superscript"/>
        </w:rPr>
        <w:t xml:space="preserve">2</w:t>
      </w:r>
      <w:r>
        <w:t xml:space="preserve"> Department of Bioscience and Biotechnology, IIT Kharagpur, India</w:t>
      </w:r>
    </w:p>
    <w:p>
      <w:pPr>
        <w:spacing w:after="40"/>
      </w:pPr>
      <w:r>
        <w:rPr>
          <w:vertAlign w:val="superscript"/>
        </w:rPr>
        <w:t xml:space="preserve">3</w:t>
      </w:r>
      <w:r>
        <w:t xml:space="preserve"> Celvia CC AS, 50411 Tartu, Estonia</w:t>
      </w:r>
    </w:p>
    <w:p>
      <w:pPr>
        <w:spacing w:after="40"/>
      </w:pPr>
      <w:r>
        <w:rPr>
          <w:vertAlign w:val="superscript"/>
        </w:rPr>
        <w:t xml:space="preserve">4</w:t>
      </w:r>
      <w:r>
        <w:t xml:space="preserve"> Laboratory of Precision and Nanomedicine, Institute of Biomedicine and Translational Medicine, University of Tartu, Tartu, Estonia</w:t>
      </w:r>
    </w:p>
    <w:p>
      <w:pPr>
        <w:spacing w:after="40"/>
      </w:pPr>
      <w:r>
        <w:rPr>
          <w:vertAlign w:val="superscript"/>
        </w:rPr>
        <w:t xml:space="preserve">5</w:t>
      </w:r>
      <w:r>
        <w:t xml:space="preserve"> Nalam Biosciences OÜ, Tartu, Estonia</w:t>
      </w:r>
    </w:p>
    <w:p>
      <w:pPr>
        <w:spacing w:after="40"/>
      </w:pPr>
      <w:r>
        <w:rPr>
          <w:vertAlign w:val="superscript"/>
        </w:rPr>
        <w:t xml:space="preserve">6</w:t>
      </w:r>
      <w:r>
        <w:t xml:space="preserve"> Department of Obstetrics and Gynecology, Institute of Clinical Medicine, University of Tartu, L. Puusepa 8, Tartu, Estonia</w:t>
      </w:r>
    </w:p>
    <w:p>
      <w:pPr>
        <w:spacing w:after="40"/>
      </w:pPr>
      <w:r>
        <w:rPr>
          <w:vertAlign w:val="superscript"/>
        </w:rPr>
        <w:t xml:space="preserve">7</w:t>
      </w:r>
      <w:r>
        <w:t xml:space="preserve"> Division of Obstetrics and Gynecology, Department of Clinical Science, Intervention and Technology (CLINTEC), Karolinska Institute, and Karolinska University Hospital, Stockholm, Sweden</w:t>
      </w:r>
    </w:p>
    <w:p>
      <w:pPr>
        <w:spacing w:after="140" w:line="288"/>
      </w:pPr>
      <w:r>
        <w:t xml:space="preserve">#These authors share joint first authorship</w:t>
      </w:r>
    </w:p>
    <w:p>
      <w:pPr>
        <w:spacing w:after="140" w:line="288"/>
      </w:pPr>
      <w:r>
        <w:rPr>
          <w:vertAlign w:val="superscript"/>
        </w:rPr>
        <w:t xml:space="preserve">*</w:t>
      </w:r>
      <w:r>
        <w:t xml:space="preserve"> To whom correspondence should be addressed.</w:t>
      </w:r>
    </w:p>
    <w:p>
      <w:pPr>
        <w:spacing w:after="140" w:line="288"/>
      </w:pPr>
      <w:r>
        <w:t xml:space="preserve">Dr. Vijayachitra Modhukur, Department of Obstetrics and Gynaecology, Institute of Clinical Medicine, University of Tartu, Tartu, Estonia. E-mail: vijayachitra.modhukur@ut.ee</w:t>
      </w:r>
    </w:p>
    <w:p>
      <w:pPr>
        <w:spacing w:after="140" w:line="288"/>
      </w:pPr>
      <w:r>
        <w:t xml:space="preserve">Prof. Andres Salumets, Division of Obstetrics and Gynaecology, Department of Clinical Science, Intervention and Technology (CLINTEC), Karolinska Institutet, and Karolinska University Hospital, Stockholm, Sweden. E-mail: andres.salumets@ki.se</w:t>
      </w:r>
    </w:p>
    <w:p>
      <w:pPr>
        <w:pStyle w:val="Heading1"/>
        <w:spacing w:after="140" w:before="280"/>
      </w:pPr>
      <w:r>
        <w:t xml:space="preserve">Abstract</w:t>
      </w:r>
    </w:p>
    <w:p>
      <w:pPr>
        <w:spacing w:after="140" w:line="288"/>
      </w:pPr>
      <w:r>
        <w:rPr>
          <w:b/>
          <w:bCs/>
        </w:rPr>
        <w:t xml:space="preserve">Background.</w:t>
      </w:r>
      <w:r>
        <w:t xml:space="preserve"> Human papillomavirus (HPV)-positive head and neck squamous cell carcinoma exhibits distinct molecular and clinical characteristics. Although aberrant expression of germ-cell genes has been reported, whether these genes represent stochastic epigenetic derepression or a coordinated transcriptional programme remains unclear. This study investigated meiotic gene activation, promoter methylation, viral transcriptional activity and cellular localisation in HPV-associated tumours.</w:t>
      </w:r>
    </w:p>
    <w:p>
      <w:pPr>
        <w:spacing w:after="140" w:line="288"/>
      </w:pPr>
      <w:r>
        <w:rPr>
          <w:b/>
          <w:bCs/>
        </w:rPr>
        <w:t xml:space="preserve">Methods.</w:t>
      </w:r>
      <w:r>
        <w:t xml:space="preserve"> Transcriptomic profiles of 279 primary tumours from The Cancer Genome Atlas were analysed using differential expression analysis and functional enrichment. A literature-curated 95-gene panel and six-gene meiotic module were evaluated across independent expression (GSE65858), methylation (GSE38266) and two single-cell sequencing cohorts (GSE181919 and GSE182227). Promoter methylation, gene co-expression, immune-cell composition and malignant-cell localisation were assessed using Mann–Whitney tests, Spearman correlations, enrichment tests, receiver operating characteristic analysis and regression models, with multiple-testing correction where applicable.</w:t>
      </w:r>
    </w:p>
    <w:p>
      <w:pPr>
        <w:spacing w:after="140" w:line="288"/>
      </w:pPr>
      <w:r>
        <w:rPr>
          <w:b/>
          <w:bCs/>
        </w:rPr>
        <w:t xml:space="preserve">Results.</w:t>
      </w:r>
      <w:r>
        <w:t xml:space="preserve"> Differential expression analysis identified 4,744 genes distinguishing HPV-positive and HPV-negative tumours, including prominent enrichment of meiotic, immune and epithelial differentiation pathways. A six-gene module comprising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showed coordinated expression and promoter hypomethylation. Module expression was inversely associated with methylation (Spearman ρ = −0.755), with methylation differences replicated independently. The module distinguished transcriptionally active HPV-positive tumours from HPV-negative tumours (area under the curve = 0.959), whereas HPV DNA-positive tumours lacking detectable viral transcription showed no significant expression elevation. Classical MAGE/CTAG cancer–testis antigens lacked comparable discrimination (area under the curve = 0.411). Single-cell analyses localised the meiotic signature predominantly to malignant epithelial cells, with independent tumour-level replication. HPV-positive tumours also exhibited increased estimated plasma-cell and CD8-positive T-cell fractions. The meiotic association persisted after accounting for anatomical site and tumour purity; adjustment for proliferation attenuated the single-cell tumour-level association, which nevertheless remained significant in the pooled analysis (Supplementary Table S10).</w:t>
      </w:r>
    </w:p>
    <w:p>
      <w:pPr>
        <w:spacing w:after="140" w:line="288"/>
      </w:pPr>
      <w:r>
        <w:rPr>
          <w:b/>
          <w:bCs/>
        </w:rPr>
        <w:t xml:space="preserve">Conclusions.</w:t>
      </w:r>
      <w:r>
        <w:t xml:space="preserve"> Transcriptionally active HPV-positive head and neck carcinomas are associated with a coordinated, promoter-hypomethylated meiotic gene programme that differs from conventional cancer–testis antigen activation. These correlative findings describe a tumour-associated transcriptional signature and motivate mechanistic investigation of virus-associated epigenetic regulation and its potential biomarker relevance.</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keepNext/>
        <w:spacing w:after="80" w:before="120"/>
        <w:jc w:val="center"/>
      </w:pPr>
      <w:r>
        <w:drawing>
          <wp:inline distT="0" distB="0" distL="0" distR="0">
            <wp:extent cx="5715000" cy="3648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48075"/>
                    </a:xfrm>
                    <a:prstGeom prst="rect">
                      <a:avLst/>
                    </a:prstGeom>
                  </pic:spPr>
                </pic:pic>
              </a:graphicData>
            </a:graphic>
          </wp:inline>
        </w:drawing>
      </w:r>
    </w:p>
    <w:p>
      <w:pPr>
        <w:spacing w:after="220" w:line="260"/>
      </w:pPr>
      <w:r>
        <w:rPr>
          <w:b/>
          <w:bCs/>
          <w:sz w:val="18"/>
          <w:szCs w:val="18"/>
        </w:rPr>
        <w:t xml:space="preserve">Graphical abstract.</w:t>
      </w:r>
      <w:r>
        <w:rPr>
          <w:sz w:val="18"/>
          <w:szCs w:val="18"/>
        </w:rPr>
        <w:t xml:space="preserve"> Cohorts analysed, the associations found in HPV+ malignant cells and the tumour microenvironment differences. All values are those reported in the Results; the associations are correlative.</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[2]. HPV+ HNSCC is now recognised as a disease entity distinct from its HPV− counterpart, with a different mutational landscape, a characteristic transcriptional profile and a markedly better prognosis [3–5]; these patients are typically younger and have less tobacco and alcohol exposure than those with the classical disease [5, 6].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can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 The study design and principal findings are summarised in Fig. 1.</w:t>
      </w:r>
    </w:p>
    <w:p>
      <w:pPr>
        <w:keepNext/>
        <w:spacing w:after="80" w:before="120"/>
        <w:jc w:val="center"/>
      </w:pPr>
      <w:r>
        <w:drawing>
          <wp:inline distT="0" distB="0" distL="0" distR="0">
            <wp:extent cx="5143500" cy="36004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600450"/>
                    </a:xfrm>
                    <a:prstGeom prst="rect">
                      <a:avLst/>
                    </a:prstGeom>
                  </pic:spPr>
                </pic:pic>
              </a:graphicData>
            </a:graphic>
          </wp:inline>
        </w:drawing>
      </w:r>
    </w:p>
    <w:p>
      <w:pPr>
        <w:spacing w:after="220" w:line="260"/>
      </w:pPr>
      <w:r>
        <w:rPr>
          <w:b/>
          <w:bCs/>
          <w:sz w:val="18"/>
          <w:szCs w:val="18"/>
        </w:rPr>
        <w:t xml:space="preserve">Figure 1. Overview of the study design and principal findings.</w:t>
      </w:r>
      <w:r>
        <w:rPr>
          <w:sz w:val="18"/>
          <w:szCs w:val="18"/>
        </w:rPr>
        <w:t xml:space="preserve"> (1) Discovery in bulk tumours: in TCGA-HNSC, HPV+ tumours showed higher meiotic scores and enrichment of meiotic and germ-cell pathways, whereas HPV− tumours showed lower meiotic scores and higher expression of keratinisation programmes; GSE65858 provided external expression validation. (2) Promoter methylation: the core meiotic genes (</w:t>
      </w:r>
      <w:r>
        <w:rPr>
          <w:i/>
          <w:iCs/>
          <w:sz w:val="18"/>
          <w:szCs w:val="18"/>
        </w:rPr>
        <w:t xml:space="preserve">MEI1</w:t>
      </w:r>
      <w:r>
        <w:rPr>
          <w:sz w:val="18"/>
          <w:szCs w:val="18"/>
        </w:rPr>
        <w:t xml:space="preserve">, </w:t>
      </w:r>
      <w:r>
        <w:rPr>
          <w:i/>
          <w:iCs/>
          <w:sz w:val="18"/>
          <w:szCs w:val="18"/>
        </w:rPr>
        <w:t xml:space="preserve">SMC1B</w:t>
      </w:r>
      <w:r>
        <w:rPr>
          <w:sz w:val="18"/>
          <w:szCs w:val="18"/>
        </w:rPr>
        <w:t xml:space="preserve">, </w:t>
      </w:r>
      <w:r>
        <w:rPr>
          <w:i/>
          <w:iCs/>
          <w:sz w:val="18"/>
          <w:szCs w:val="18"/>
        </w:rPr>
        <w:t xml:space="preserve">STAG3</w:t>
      </w:r>
      <w:r>
        <w:rPr>
          <w:sz w:val="18"/>
          <w:szCs w:val="18"/>
        </w:rPr>
        <w:t xml:space="preserve">, </w:t>
      </w:r>
      <w:r>
        <w:rPr>
          <w:i/>
          <w:iCs/>
          <w:sz w:val="18"/>
          <w:szCs w:val="18"/>
        </w:rPr>
        <w:t xml:space="preserve">SYCP2</w:t>
      </w:r>
      <w:r>
        <w:rPr>
          <w:sz w:val="18"/>
          <w:szCs w:val="18"/>
        </w:rPr>
        <w:t xml:space="preserve">, </w:t>
      </w:r>
      <w:r>
        <w:rPr>
          <w:i/>
          <w:iCs/>
          <w:sz w:val="18"/>
          <w:szCs w:val="18"/>
        </w:rPr>
        <w:t xml:space="preserve">SYCE2</w:t>
      </w:r>
      <w:r>
        <w:rPr>
          <w:sz w:val="18"/>
          <w:szCs w:val="18"/>
        </w:rPr>
        <w:t xml:space="preserve"> and </w:t>
      </w:r>
      <w:r>
        <w:rPr>
          <w:i/>
          <w:iCs/>
          <w:sz w:val="18"/>
          <w:szCs w:val="18"/>
        </w:rPr>
        <w:t xml:space="preserve">MAJIN</w:t>
      </w:r>
      <w:r>
        <w:rPr>
          <w:sz w:val="18"/>
          <w:szCs w:val="18"/>
        </w:rPr>
        <w:t xml:space="preserve">) were hypomethylated in HPV+ tumours, and methylation was inversely correlated with meiotic expression (ρ = −0.755). The arrow from viral E6/E7 activity to demethylation depicts the proposed mechanism; methylation was compared by HPV status, not by viral transcriptional activity. (3) Class specificity: the core meiotic score discriminated virus-active HPV+ from HPV− tumours (AUC = 0.959), whereas the classic MAGE/CTAG cancer–testis antigens did not (AUC = 0.411). (4) Single-cell RNA-seq placed the meiotic signal predominantly in malignant epithelial cells of HPV+ tumours in two cohorts (GSE181919 and GSE182227; GSE182227 shown). The lower panel summarises the validation layers: bulk RNA-seq, DNA methylation, external expression cohorts and single-cell RNA-seq. Embedded plots are schematic.</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w:t>
      </w:r>
      <w:r>
        <w:rPr>
          <w:i/>
          <w:iCs/>
        </w:rPr>
        <w:t xml:space="preserve">CD8A</w:t>
      </w:r>
      <w:r>
        <w:t xml:space="preserve"> and </w:t>
      </w:r>
      <w:r>
        <w:rPr>
          <w:i/>
          <w:iCs/>
        </w:rPr>
        <w:t xml:space="preserve">CD8B</w:t>
      </w:r>
      <w:r>
        <w:t xml:space="preserve"> expression (log</w:t>
      </w:r>
      <w:r>
        <w:rPr>
          <w:vertAlign w:val="subscript"/>
        </w:rPr>
        <w:t xml:space="preserve">2</w:t>
      </w:r>
      <w:r>
        <w:t xml:space="preserve"> of DESeq2-normalised counts + 1) and of plasma-cell fractions with </w:t>
      </w:r>
      <w:r>
        <w:rPr>
          <w:i/>
          <w:iCs/>
        </w:rPr>
        <w:t xml:space="preserve">IGHM</w:t>
      </w:r>
      <w:r>
        <w:t xml:space="preserve"> and </w:t>
      </w:r>
      <w:r>
        <w:rPr>
          <w:i/>
          <w:iCs/>
        </w:rPr>
        <w:t xml:space="preserve">MS4A1</w:t>
      </w:r>
      <w:r>
        <w:t xml:space="preserve"> expression (log</w:t>
      </w:r>
      <w:r>
        <w:rPr>
          <w:vertAlign w:val="subscript"/>
        </w:rPr>
        <w:t xml:space="preserve">2</w:t>
      </w:r>
      <w:r>
        <w:t xml:space="preserve"> TPM + 1, from the matrix supplied to CIBERSORTx); because Spearman correlation is rank-based, the coefficients are identical for variance-stabilised values.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two-sided Mann–Whitney tests (exact at tumour level in GSE181919),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2a).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2b;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2.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2c).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3a). The largest effect, at </w:t>
      </w:r>
      <w:r>
        <w:rPr>
          <w:i/>
          <w:iCs/>
        </w:rPr>
        <w:t xml:space="preserve">MEI1</w:t>
      </w:r>
      <w:r>
        <w:t xml:space="preserve">, was a 0.45 decrease in median β. Seventeen of the 18 hypomethylated genes showed a negative methylation–expression correlation (median ρ = −0.55; Fig. 3b),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3c),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sectPr>
          <w:footerReference w:type="default" r:id="rId6"/>
          <w:pgSz w:w="11906" w:h="16838" w:orient="portrait"/>
          <w:pgMar w:top="1134" w:right="1134" w:bottom="1134" w:left="1134" w:header="708" w:footer="708" w:gutter="0"/>
          <w:pgNumType/>
          <w:docGrid w:linePitch="360"/>
        </w:sectPr>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keepNext/>
        <w:spacing w:after="80" w:before="120"/>
        <w:jc w:val="center"/>
      </w:pPr>
      <w:r>
        <w:drawing>
          <wp:inline distT="0" distB="0" distL="0" distR="0">
            <wp:extent cx="9144000" cy="2571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2571750"/>
                    </a:xfrm>
                    <a:prstGeom prst="rect">
                      <a:avLst/>
                    </a:prstGeom>
                  </pic:spPr>
                </pic:pic>
              </a:graphicData>
            </a:graphic>
          </wp:inline>
        </w:drawing>
      </w:r>
    </w:p>
    <w:p>
      <w:pPr>
        <w:spacing w:after="220" w:line="260"/>
        <w:sectPr>
          <w:footerReference w:type="default" r:id="rId7"/>
          <w:pgSz w:w="16838" w:h="11906" w:orient="landscape"/>
          <w:pgMar w:top="1134" w:right="1134" w:bottom="1134" w:left="1134" w:header="708" w:footer="708" w:gutter="0"/>
          <w:pgNumType/>
          <w:docGrid w:linePitch="360"/>
        </w:sectPr>
      </w:pPr>
      <w:r>
        <w:rPr>
          <w:b/>
          <w:bCs/>
          <w:sz w:val="18"/>
          <w:szCs w:val="18"/>
        </w:rPr>
        <w:t xml:space="preserve">Figure 3.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4a).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4c;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4b).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67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667000"/>
                    </a:xfrm>
                    <a:prstGeom prst="rect">
                      <a:avLst/>
                    </a:prstGeom>
                  </pic:spPr>
                </pic:pic>
              </a:graphicData>
            </a:graphic>
          </wp:inline>
        </w:drawing>
      </w:r>
    </w:p>
    <w:p>
      <w:pPr>
        <w:spacing w:after="220" w:line="260"/>
        <w:sectPr>
          <w:footerReference w:type="default" r:id="rId9"/>
          <w:pgSz w:w="16838" w:h="11906" w:orient="landscape"/>
          <w:pgMar w:top="1134" w:right="1134" w:bottom="1134" w:left="1134" w:header="708" w:footer="708" w:gutter="0"/>
          <w:pgNumType/>
          <w:docGrid w:linePitch="360"/>
        </w:sectPr>
      </w:pPr>
      <w:r>
        <w:rPr>
          <w:b/>
          <w:bCs/>
          <w:sz w:val="18"/>
          <w:szCs w:val="18"/>
        </w:rPr>
        <w:t xml:space="preserve">Figure 4.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5;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5f;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S5a, b), and plasma-cell fractions correlated with </w:t>
      </w:r>
      <w:r>
        <w:rPr>
          <w:i/>
          <w:iCs/>
        </w:rPr>
        <w:t xml:space="preserve">IGHM</w:t>
      </w:r>
      <w:r>
        <w:t xml:space="preserve"> (ρ = 0.913) and </w:t>
      </w:r>
      <w:r>
        <w:rPr>
          <w:i/>
          <w:iCs/>
        </w:rPr>
        <w:t xml:space="preserve">MS4A1</w:t>
      </w:r>
      <w:r>
        <w:t xml:space="preserve"> (ρ = 0.590) expression (Supplementary Fig. S5c, d;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Lower</w:t>
            </w:r>
          </w:p>
        </w:tc>
      </w:tr>
    </w:tbl>
    <w:p>
      <w:pPr>
        <w:keepNext/>
        <w:spacing w:after="80" w:before="120"/>
        <w:jc w:val="center"/>
      </w:pPr>
      <w:r>
        <w:drawing>
          <wp:inline distT="0" distB="0" distL="0" distR="0">
            <wp:extent cx="6096000" cy="4286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286250"/>
                    </a:xfrm>
                    <a:prstGeom prst="rect">
                      <a:avLst/>
                    </a:prstGeom>
                  </pic:spPr>
                </pic:pic>
              </a:graphicData>
            </a:graphic>
          </wp:inline>
        </w:drawing>
      </w:r>
    </w:p>
    <w:p>
      <w:pPr>
        <w:spacing w:after="220" w:line="260"/>
      </w:pPr>
      <w:r>
        <w:rPr>
          <w:b/>
          <w:bCs/>
          <w:sz w:val="18"/>
          <w:szCs w:val="18"/>
        </w:rPr>
        <w:t xml:space="preserve">Figure 5.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6a,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6 shows the six-gene core score.</w:t>
      </w:r>
    </w:p>
    <w:p>
      <w:pPr>
        <w:spacing w:after="140" w:line="288"/>
      </w:pPr>
      <w:r>
        <w:t xml:space="preserve">The effect was not driven by a single tumour. With malignant cells aggregated per patient, all 7 HPV+ tumours scored above all 13 HPV− tumours on the six-gene core score (two-sided exact Mann–Whitney P = 2.6 × 10</w:t>
      </w:r>
      <w:r>
        <w:rPr>
          <w:vertAlign w:val="superscript"/>
        </w:rPr>
        <w:t xml:space="preserve">−5</w:t>
      </w:r>
      <w:r>
        <w:t xml:space="preserve">; Fig. 6e),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6c). For individual genes, </w:t>
      </w:r>
      <w:r>
        <w:rPr>
          <w:i/>
          <w:iCs/>
        </w:rPr>
        <w:t xml:space="preserve">SYCP2</w:t>
      </w:r>
      <w:r>
        <w:t xml:space="preserve"> was detected in 35.8% of HPV+ versus 1.5% of HPV− malignant cells and </w:t>
      </w:r>
      <w:r>
        <w:rPr>
          <w:i/>
          <w:iCs/>
        </w:rPr>
        <w:t xml:space="preserve">SMC1B</w:t>
      </w:r>
      <w:r>
        <w:t xml:space="preserve"> in 29.5% versus 0.6% (Fig. 6d); across the panel, 15 of 30 meiotic genes but only 4 of 13 cancer–testis antigens were detected significantly more often in HPV+ malignant cells (FDR &lt; 0.05), reproducing within tumour cells the class asymmetry seen in bulk.</w:t>
      </w:r>
    </w:p>
    <w:p>
      <w:pPr>
        <w:spacing w:after="140" w:line="288"/>
        <w:sectPr>
          <w:footerReference w:type="default" r:id="rId10"/>
          <w:pgSz w:w="11906" w:h="16838" w:orient="portrait"/>
          <w:pgMar w:top="1134" w:right="1134" w:bottom="1134" w:left="1134" w:header="708" w:footer="708" w:gutter="0"/>
          <w:pgNumType/>
          <w:docGrid w:linePitch="360"/>
        </w:sectPr>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keepNext/>
        <w:spacing w:after="80" w:before="120"/>
        <w:jc w:val="center"/>
      </w:pPr>
      <w:r>
        <w:drawing>
          <wp:inline distT="0" distB="0" distL="0" distR="0">
            <wp:extent cx="7429500" cy="46577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7429500" cy="4657725"/>
                    </a:xfrm>
                    <a:prstGeom prst="rect">
                      <a:avLst/>
                    </a:prstGeom>
                  </pic:spPr>
                </pic:pic>
              </a:graphicData>
            </a:graphic>
          </wp:inline>
        </w:drawing>
      </w:r>
    </w:p>
    <w:p>
      <w:pPr>
        <w:spacing w:after="220" w:line="260"/>
        <w:sectPr>
          <w:footerReference w:type="default" r:id="rId11"/>
          <w:pgSz w:w="16838" w:h="11906" w:orient="landscape"/>
          <w:pgMar w:top="1134" w:right="1134" w:bottom="1134" w:left="1134" w:header="708" w:footer="708" w:gutter="0"/>
          <w:pgNumType/>
          <w:docGrid w:linePitch="360"/>
        </w:sectPr>
      </w:pPr>
      <w:r>
        <w:rPr>
          <w:b/>
          <w:bCs/>
          <w:sz w:val="18"/>
          <w:szCs w:val="18"/>
        </w:rPr>
        <w:t xml:space="preserve">Figure 6.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7a),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7b).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7c);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two-sided P = 0.003; Fig. 7d), compared with 0.112 (AUC = 1.000, P = 7.4 × 10</w:t>
      </w:r>
      <w:r>
        <w:rPr>
          <w:vertAlign w:val="superscript"/>
        </w:rPr>
        <w:t xml:space="preserve">−5</w:t>
      </w:r>
      <w:r>
        <w:t xml:space="preserve">) for the same score in GSE181919, giving the same direction and comparable magnitude in two cohorts annotated by different procedures (Fig. 7e;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7d):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7f;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6a.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2578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572500" cy="5257800"/>
                    </a:xfrm>
                    <a:prstGeom prst="rect">
                      <a:avLst/>
                    </a:prstGeom>
                  </pic:spPr>
                </pic:pic>
              </a:graphicData>
            </a:graphic>
          </wp:inline>
        </w:drawing>
      </w:r>
    </w:p>
    <w:p>
      <w:pPr>
        <w:spacing w:after="220" w:line="260"/>
        <w:sectPr>
          <w:footerReference w:type="default" r:id="rId13"/>
          <w:pgSz w:w="16838" w:h="11906" w:orient="landscape"/>
          <w:pgMar w:top="1134" w:right="1134" w:bottom="1134" w:left="1134" w:header="708" w:footer="708" w:gutter="0"/>
          <w:pgNumType/>
          <w:docGrid w:linePitch="360"/>
        </w:sectPr>
      </w:pPr>
      <w:r>
        <w:rPr>
          <w:b/>
          <w:bCs/>
          <w:sz w:val="18"/>
          <w:szCs w:val="18"/>
        </w:rPr>
        <w:t xml:space="preserve">Figure 7.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usually assumed for cancer–testis antigen expression [15, 18].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(four-gene meiosis-specific score,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This study identifies a coordinated meiotic gene programme associated with transcriptionally active HPV-positive head and neck squamous cell carcinoma. The programme is characterised by selective activation of meiotic genes, promoter hypomethylation and predominant expression in malignant epithelial cells. Unlike conventional cancer–testis antigens, the six-gene core module distinguished transcriptionally active HPV-positive tumours from HPV-negative tumours, with consistent findings across independent cohorts. These associations are correlative and are more consistent with a distinct molecular feature of HPV-associated tumours than with nonspecific germ-cell gene derepression; causality was not tested. Further functional studies are warranted to establish the underlying regulatory mechanisms and evaluate the potential diagnostic and biological significance of this programme.</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ABSOLUTE tumour-purity estimates for TCGA were taken from the PanCancer Atlas (Carter et al., 2012 method). TCGA-HNSC STAR gene counts were downloaded from the GDC with TCGAbiolinks (project TCGA-HNSC, workflow STAR - Counts; saved as data_raw/HNSC_data.rds, not deposited because of size), and clinical files with scripts/download_data.py. The GEO series were downloaded into a local DATA/meiotic folder by scripts/meiotic_programme/run_meiotic_analysis.py (GSE181919 is about 1.2 GB). The CIBERSORTx output (Job 14) is archived in the repository. Processed inputs, results tables, figure source panels and all supplementary tables are provided in the study repository (https://github.com/rejoy2004-rgb/TCGA-HNSC-HPV-Transcriptomics); the README gives the run order, and documentation/Canonical_Outputs.md maps every figure and table to its source script.</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scripts/review_analyses),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Author contributions</w:t>
      </w:r>
    </w:p>
    <w:p>
      <w:pPr>
        <w:spacing w:after="140" w:line="288"/>
      </w:pPr>
      <w:r>
        <w:t xml:space="preserve">Suganth Gopinath Sangeetha (SGS): Methodology, Formal analysis, Investigation, Data curation, Visualization, Software, Writing – original draft.</w:t>
      </w:r>
    </w:p>
    <w:p>
      <w:pPr>
        <w:spacing w:after="140" w:line="288"/>
      </w:pPr>
      <w:r>
        <w:t xml:space="preserve">Rejoy Besra (RB): Methodology, Formal analysis, Investigation, Data curation, Visualization, Software, Writing – original draft.</w:t>
      </w:r>
    </w:p>
    <w:p>
      <w:pPr>
        <w:spacing w:after="140" w:line="288"/>
      </w:pPr>
      <w:r>
        <w:t xml:space="preserve">Naisarg Patel (NP): Conceptualization, Supervision, Validation, Writing – review &amp; editing.</w:t>
      </w:r>
    </w:p>
    <w:p>
      <w:pPr>
        <w:spacing w:after="140" w:line="288"/>
      </w:pPr>
      <w:r>
        <w:t xml:space="preserve">Prakash Lingasamy (PL): Investigation, Resources, Writing – review &amp; editing.</w:t>
      </w:r>
    </w:p>
    <w:p>
      <w:pPr>
        <w:spacing w:after="140" w:line="288"/>
      </w:pPr>
      <w:r>
        <w:t xml:space="preserve">Vino Sundararajan (VS): Investigation, Resources, Writing – review &amp; editing.</w:t>
      </w:r>
    </w:p>
    <w:p>
      <w:pPr>
        <w:spacing w:after="140" w:line="288"/>
      </w:pPr>
      <w:r>
        <w:t xml:space="preserve">Sajitha Lulu S. (SL): Investigation, Resources, Writing – review &amp; editing.</w:t>
      </w:r>
    </w:p>
    <w:p>
      <w:pPr>
        <w:spacing w:after="140" w:line="288"/>
      </w:pPr>
      <w:r>
        <w:t xml:space="preserve">Vijayachitra Modhukur (VM): Conceptualization, Funding acquisition, Supervision, Project administration, Writing – review &amp; editing.</w:t>
      </w:r>
    </w:p>
    <w:p>
      <w:pPr>
        <w:pStyle w:val="Heading1"/>
        <w:spacing w:after="140" w:before="280"/>
      </w:pPr>
      <w:r>
        <w:t xml:space="preserve">Funding</w:t>
      </w:r>
    </w:p>
    <w:p>
      <w:pPr>
        <w:spacing w:after="140" w:line="288"/>
      </w:pPr>
      <w:r>
        <w:t xml:space="preserve">No external funding was received for this work.</w:t>
      </w:r>
    </w:p>
    <w:p>
      <w:pPr>
        <w:pStyle w:val="Heading1"/>
        <w:spacing w:after="140" w:before="280"/>
      </w:pPr>
      <w:r>
        <w:t xml:space="preserve">Competing interests</w:t>
      </w:r>
    </w:p>
    <w:p>
      <w:pPr>
        <w:spacing w:after="140" w:line="288"/>
      </w:pPr>
      <w:r>
        <w:t xml:space="preserve">The authors declare no competing interests.</w:t>
      </w:r>
    </w:p>
    <w:p>
      <w:pPr>
        <w:pStyle w:val="Heading1"/>
        <w:spacing w:after="140" w:before="280"/>
      </w:pPr>
      <w:r>
        <w:t xml:space="preserve">Acknowledgements</w:t>
      </w:r>
    </w:p>
    <w:p>
      <w:pPr>
        <w:spacing w:after="140" w:line="288"/>
      </w:pPr>
      <w:r>
        <w:t xml:space="preserve">We thank the TCGA Research Network, the investigators who deposited GSE65858, GSE38266, GSE181919 and GSE182227 in the Gene Expression Omnibus, and the teams behind cBioPortal and the NCI Genomic Data Commons for making these data publicly available.</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3514725"/>
                    </a:xfrm>
                    <a:prstGeom prst="rect">
                      <a:avLst/>
                    </a:prstGeom>
                  </pic:spPr>
                </pic:pic>
              </a:graphicData>
            </a:graphic>
          </wp:inline>
        </w:drawing>
      </w:r>
    </w:p>
    <w:p>
      <w:pPr>
        <w:spacing w:after="220" w:line="260"/>
        <w:sectPr>
          <w:footerReference w:type="default" r:id="rId14"/>
          <w:pgSz w:w="11906" w:h="16838" w:orient="portrait"/>
          <w:pgMar w:top="1134" w:right="1134" w:bottom="1134" w:left="1134" w:header="708" w:footer="708" w:gutter="0"/>
          <w:pgNumType/>
          <w:docGrid w:linePitch="360"/>
        </w:sectPr>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keepNext/>
        <w:spacing w:after="80" w:before="120"/>
        <w:jc w:val="center"/>
      </w:pPr>
      <w:r>
        <w:drawing>
          <wp:inline distT="0" distB="0" distL="0" distR="0">
            <wp:extent cx="9144000" cy="20097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009775"/>
                    </a:xfrm>
                    <a:prstGeom prst="rect">
                      <a:avLst/>
                    </a:prstGeom>
                  </pic:spPr>
                </pic:pic>
              </a:graphicData>
            </a:graphic>
          </wp:inline>
        </w:drawing>
      </w:r>
    </w:p>
    <w:p>
      <w:pPr>
        <w:spacing w:after="220" w:line="260"/>
        <w:sectPr>
          <w:footerReference w:type="default" r:id="rId15"/>
          <w:pgSz w:w="16838" w:h="11906" w:orient="landscape"/>
          <w:pgMar w:top="1134" w:right="1134" w:bottom="1134" w:left="1134" w:header="708" w:footer="708" w:gutter="0"/>
          <w:pgNumType/>
          <w:docGrid w:linePitch="360"/>
        </w:sectPr>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keepNext/>
        <w:spacing w:after="80" w:before="120"/>
        <w:jc w:val="center"/>
      </w:pPr>
      <w:r>
        <w:drawing>
          <wp:inline distT="0" distB="0" distL="0" distR="0">
            <wp:extent cx="8572500" cy="4248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572500" cy="4248150"/>
                    </a:xfrm>
                    <a:prstGeom prst="rect">
                      <a:avLst/>
                    </a:prstGeom>
                  </pic:spPr>
                </pic:pic>
              </a:graphicData>
            </a:graphic>
          </wp:inline>
        </w:drawing>
      </w:r>
    </w:p>
    <w:p>
      <w:pPr>
        <w:spacing w:after="220" w:line="260"/>
        <w:sectPr>
          <w:footerReference w:type="default" r:id="rId16"/>
          <w:pgSz w:w="16838" w:h="11906" w:orient="landscape"/>
          <w:pgMar w:top="1134" w:right="1134" w:bottom="1134" w:left="1134" w:header="708" w:footer="708" w:gutter="0"/>
          <w:pgNumType/>
          <w:docGrid w:linePitch="360"/>
        </w:sectPr>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keepNext/>
        <w:spacing w:after="80" w:before="120"/>
        <w:jc w:val="center"/>
      </w:pPr>
      <w:r>
        <w:drawing>
          <wp:inline distT="0" distB="0" distL="0" distR="0">
            <wp:extent cx="9144000" cy="2828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144000" cy="2828925"/>
                    </a:xfrm>
                    <a:prstGeom prst="rect">
                      <a:avLst/>
                    </a:prstGeom>
                  </pic:spPr>
                </pic:pic>
              </a:graphicData>
            </a:graphic>
          </wp:inline>
        </w:drawing>
      </w:r>
    </w:p>
    <w:p>
      <w:pPr>
        <w:spacing w:after="220" w:line="260"/>
        <w:sectPr>
          <w:footerReference w:type="default" r:id="rId17"/>
          <w:pgSz w:w="16838" w:h="11906" w:orient="landscape"/>
          <w:pgMar w:top="1134" w:right="1134" w:bottom="1134" w:left="1134" w:header="708" w:footer="708" w:gutter="0"/>
          <w:pgNumType/>
          <w:docGrid w:linePitch="360"/>
        </w:sectPr>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keepNext/>
        <w:spacing w:after="80" w:before="120"/>
        <w:jc w:val="center"/>
      </w:pPr>
      <w:r>
        <w:drawing>
          <wp:inline distT="0" distB="0" distL="0" distR="0">
            <wp:extent cx="6096000" cy="52768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5276850"/>
                    </a:xfrm>
                    <a:prstGeom prst="rect">
                      <a:avLst/>
                    </a:prstGeom>
                  </pic:spPr>
                </pic:pic>
              </a:graphicData>
            </a:graphic>
          </wp:inline>
        </w:drawing>
      </w:r>
    </w:p>
    <w:p>
      <w:pPr>
        <w:spacing w:after="220" w:line="260"/>
      </w:pPr>
      <w:r>
        <w:rPr>
          <w:b/>
          <w:bCs/>
          <w:sz w:val="18"/>
          <w:szCs w:val="18"/>
        </w:rPr>
        <w:t xml:space="preserve">Supplementary Fig. S5. Validation of CIBERSORTx CD8+ T-cell and plasma-cell estimates.</w:t>
      </w:r>
      <w:r>
        <w:rPr>
          <w:sz w:val="18"/>
          <w:szCs w:val="18"/>
        </w:rPr>
        <w:t xml:space="preserve"> CD8+ T-cell fraction versus </w:t>
      </w:r>
      <w:r>
        <w:rPr>
          <w:i/>
          <w:iCs/>
          <w:sz w:val="18"/>
          <w:szCs w:val="18"/>
        </w:rPr>
        <w:t xml:space="preserve">CD8A</w:t>
      </w:r>
      <w:r>
        <w:rPr>
          <w:sz w:val="18"/>
          <w:szCs w:val="18"/>
        </w:rPr>
        <w:t xml:space="preserve"> (a; Spearman ρ = 0.735) and </w:t>
      </w:r>
      <w:r>
        <w:rPr>
          <w:i/>
          <w:iCs/>
          <w:sz w:val="18"/>
          <w:szCs w:val="18"/>
        </w:rPr>
        <w:t xml:space="preserve">CD8B</w:t>
      </w:r>
      <w:r>
        <w:rPr>
          <w:sz w:val="18"/>
          <w:szCs w:val="18"/>
        </w:rPr>
        <w:t xml:space="preserve"> (b; ρ = 0.689) expression, shown as log</w:t>
      </w:r>
      <w:r>
        <w:rPr>
          <w:sz w:val="18"/>
          <w:szCs w:val="18"/>
          <w:vertAlign w:val="subscript"/>
        </w:rPr>
        <w:t xml:space="preserve">2</w:t>
      </w:r>
      <w:r>
        <w:rPr>
          <w:sz w:val="18"/>
          <w:szCs w:val="18"/>
        </w:rPr>
        <w:t xml:space="preserve">(DESeq2-normalised count + 1); plasma-cell fraction versus </w:t>
      </w:r>
      <w:r>
        <w:rPr>
          <w:i/>
          <w:iCs/>
          <w:sz w:val="18"/>
          <w:szCs w:val="18"/>
        </w:rPr>
        <w:t xml:space="preserve">IGHM</w:t>
      </w:r>
      <w:r>
        <w:rPr>
          <w:sz w:val="18"/>
          <w:szCs w:val="18"/>
        </w:rPr>
        <w:t xml:space="preserve"> (c; ρ = 0.913) and </w:t>
      </w:r>
      <w:r>
        <w:rPr>
          <w:i/>
          <w:iCs/>
          <w:sz w:val="18"/>
          <w:szCs w:val="18"/>
        </w:rPr>
        <w:t xml:space="preserve">MS4A1</w:t>
      </w:r>
      <w:r>
        <w:rPr>
          <w:sz w:val="18"/>
          <w:szCs w:val="18"/>
        </w:rPr>
        <w:t xml:space="preserve"> (d; ρ = 0.590) expression, shown as log</w:t>
      </w:r>
      <w:r>
        <w:rPr>
          <w:sz w:val="18"/>
          <w:szCs w:val="18"/>
          <w:vertAlign w:val="subscript"/>
        </w:rPr>
        <w:t xml:space="preserve">2</w:t>
      </w:r>
      <w:r>
        <w:rPr>
          <w:sz w:val="18"/>
          <w:szCs w:val="18"/>
        </w:rPr>
        <w:t xml:space="preserve">(TPM + 1) of the values supplied to CIBERSORTx. The four pairs are those in Supplementary Table S8; n = 279 tumours.</w:t>
      </w:r>
    </w:p>
    <w:p>
      <w:pPr>
        <w:keepNext/>
        <w:spacing w:after="80" w:before="120"/>
        <w:jc w:val="center"/>
      </w:pPr>
      <w:r>
        <w:drawing>
          <wp:inline distT="0" distB="0" distL="0" distR="0">
            <wp:extent cx="4572000" cy="31623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log</w:t>
      </w:r>
      <w:r>
        <w:rPr>
          <w:sz w:val="18"/>
          <w:szCs w:val="18"/>
          <w:vertAlign w:val="subscript"/>
        </w:rPr>
        <w:t xml:space="preserve">2</w:t>
      </w:r>
      <w:r>
        <w:rPr>
          <w:sz w:val="18"/>
          <w:szCs w:val="18"/>
        </w:rPr>
        <w:t xml:space="preserve">(DESeq2-normalised count + 1), as in Supplementary Fig. S5 (Spearman ρ is rank-based and identical for variance-stabilised values);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156"/>
        <w:gridCol w:w="3469"/>
        <w:gridCol w:w="1349"/>
        <w:gridCol w:w="1737"/>
      </w:tblGrid>
      <w:tr>
        <w:trPr>
          <w:tblHeader/>
        </w:trPr>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Cell population</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Marker</w:t>
            </w:r>
          </w:p>
        </w:tc>
        <w:tc>
          <w:tcPr>
            <w:tcW w:type="dxa" w:w="346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Expression</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Spearman ρ</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log</w:t>
            </w:r>
            <w:r>
              <w:rPr>
                <w:b w:val="false"/>
                <w:bCs w:val="false"/>
                <w:sz w:val="17"/>
                <w:szCs w:val="17"/>
                <w:vertAlign w:val="subscript"/>
              </w:rPr>
              <w:t xml:space="preserve">2</w:t>
            </w:r>
            <w:r>
              <w:rPr>
                <w:b w:val="false"/>
                <w:bCs w:val="false"/>
                <w:sz w:val="17"/>
                <w:szCs w:val="17"/>
              </w:rPr>
              <w:t xml:space="preserve">(DESeq2-normalised count + 1)</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log</w:t>
            </w:r>
            <w:r>
              <w:rPr>
                <w:b w:val="false"/>
                <w:bCs w:val="false"/>
                <w:sz w:val="17"/>
                <w:szCs w:val="17"/>
                <w:vertAlign w:val="subscript"/>
              </w:rPr>
              <w:t xml:space="preserve">2</w:t>
            </w:r>
            <w:r>
              <w:rPr>
                <w:b w:val="false"/>
                <w:bCs w:val="false"/>
                <w:sz w:val="17"/>
                <w:szCs w:val="17"/>
              </w:rPr>
              <w:t xml:space="preserve">(DESeq2-normalised count + 1)</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TPM</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TPM</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0.590</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0.081</w:t>
            </w:r>
          </w:p>
        </w:tc>
      </w:tr>
    </w:tbl>
    <w:p>
      <w:pPr>
        <w:spacing w:after="120"/>
      </w:pPr>
    </w:p>
    <w:p>
      <w:pPr>
        <w:pStyle w:val="Heading2"/>
        <w:pageBreakBefore/>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theme" Target="theme/theme1.xml"/><Relationship Id="rId20" Type="http://schemas.openxmlformats.org/officeDocument/2006/relationships/image" Target="media/b7639fe627b04522326ad32ad704e08ed0807bbc.png"/><Relationship Id="rId21" Type="http://schemas.openxmlformats.org/officeDocument/2006/relationships/image" Target="media/8e5658875532a0a5cb4523837a8e95823c81977e.png"/><Relationship Id="rId22" Type="http://schemas.openxmlformats.org/officeDocument/2006/relationships/image" Target="media/ef17e6ea64f6f4afad6ecce76549fdd2b815a383.png"/><Relationship Id="rId23" Type="http://schemas.openxmlformats.org/officeDocument/2006/relationships/image" Target="media/0c1bee960b37a26f9cc7fbbf8b8d8fd977df4cd0.png"/><Relationship Id="rId24" Type="http://schemas.openxmlformats.org/officeDocument/2006/relationships/image" Target="media/0896e7b447678e3c33c67d5cacfdb0bfba4f78a1.png"/><Relationship Id="rId25" Type="http://schemas.openxmlformats.org/officeDocument/2006/relationships/image" Target="media/282a6f4d25fb2ee66164ee736dbf8e7832525096.png"/><Relationship Id="rId26" Type="http://schemas.openxmlformats.org/officeDocument/2006/relationships/image" Target="media/a0b86110c22608f6fb5fc01b74ef549228fffcfa.png"/><Relationship Id="rId27" Type="http://schemas.openxmlformats.org/officeDocument/2006/relationships/image" Target="media/8a098a26ae1d63897479f459e211ca66f761afb0.png"/><Relationship Id="rId28" Type="http://schemas.openxmlformats.org/officeDocument/2006/relationships/image" Target="media/80835cf801b90539ff50ee48b816cf421b9dbf7d.png"/><Relationship Id="rId29" Type="http://schemas.openxmlformats.org/officeDocument/2006/relationships/image" Target="media/b8f2fa2bd41281d984ce2f7259366ef06284c766.png"/><Relationship Id="rId30" Type="http://schemas.openxmlformats.org/officeDocument/2006/relationships/image" Target="media/fdb0d183fc27ef52cdbdd8ea6ca53f03401de85f.png"/><Relationship Id="rId31" Type="http://schemas.openxmlformats.org/officeDocument/2006/relationships/image" Target="media/55310f06aa6998eb266608c96fab3d0c4025b258.png"/><Relationship Id="rId32" Type="http://schemas.openxmlformats.org/officeDocument/2006/relationships/image" Target="media/3f5b2ab743cffca4ac845cad4d724a88e8419ebf.png"/><Relationship Id="rId33" Type="http://schemas.openxmlformats.org/officeDocument/2006/relationships/image" Target="media/2abb6f04bd6b49f84458f2c40d866137138a1fd6.png"/><Relationship Id="rId34" Type="http://schemas.openxmlformats.org/officeDocument/2006/relationships/image" Target="media/68020184b6d13fec56b30dc9d98984113704cda6.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2026-10-27T11:06:14.408Z</dcterms:created>
  <dcterms:modified xsi:type="dcterms:W3CDTF">2026-10-27T11:06:14.410Z</dcterms:modified>
</cp:coreProperties>
</file>

<file path=docProps/custom.xml><?xml version="1.0" encoding="utf-8"?>
<Properties xmlns="http://schemas.openxmlformats.org/officeDocument/2006/custom-properties" xmlns:vt="http://schemas.openxmlformats.org/officeDocument/2006/docPropsVTypes"/>
</file>