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gene-level methylation in TCGA (n = 125), validated in GSE65858 (n = 256), which records HPV DNA status and viral transcriptional activity separately, and replicated for methylation in GSE38266 (n = 42). Immune composition was estimated with CIBERSORTx, and two single-cell RNA-seq cohorts (36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genes were hypomethylated in HPV+ tumours, and their methylation was inversely correlated with meiotic expression (ρ = −0.755). A six-gene core meiotic score separated transcriptionally active HPV+ tumours from HPV− tumours (AUC = 0.959, 95% CI 0.90–1.00),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At single-cell resolution the core score differed by HPV status only in malignant cells (Δ = 0.100 vs ≤ 0.011 in non-malignant cell types). The malignant-cell signal replicated in a second cohort with the four-gene meiosis-specific score (AUC = 0.945, 95% CI 0.84–1.00), and the association of this score with HPV status was attenuated by 22% after adjustment for proliferation. Additionally, HPV+ tumours had more plasma cells and CD8+ T cells.</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and in younger patients without the tobacco and alcohol exposure that characterises the classical disease [2]. HPV+ HNSCC is now recognised as a disease entity distinct from its HPV− counterpart, with a different mutational landscape, a characteristic transcriptional profile and a markedly better prognosis [3–5].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is sufficient to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2a). The largest effect, at </w:t>
      </w:r>
      <w:r>
        <w:rPr>
          <w:i/>
          <w:iCs/>
        </w:rPr>
        <w:t xml:space="preserve">MEI1</w:t>
      </w:r>
      <w:r>
        <w:t xml:space="preserve">, was a 0.45 decrease in median β. Seventeen of the 18 hypomethylated genes showed a negative methylation–expression correlation (median ρ = −0.55; Fig. 2b),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571750"/>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667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428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2862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5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5e),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15 of 30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372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572500" cy="5372100"/>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572500" cy="5257800"/>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proposed for cancer–testis antigen expression [15, 16].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Processed inputs, results tables, figure source panels and all supplementary tables are provided in the study repository (https://github.com/rejoy2004-rgb/TCGA-HNSC-HPV-Transcriptomics).</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sectPr>
          <w:footerReference w:type="default" r:id="rId14"/>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009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00977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sectPr>
          <w:footerReference w:type="default" r:id="rId15"/>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8572500" cy="4248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572500" cy="4248150"/>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sectPr>
          <w:footerReference w:type="default" r:id="rId16"/>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9144000" cy="2828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8289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sectPr>
          <w:footerReference w:type="default" r:id="rId17"/>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6096000" cy="2714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71462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w:t>
      </w:r>
      <w:r>
        <w:rPr>
          <w:i/>
          <w:iCs/>
          <w:sz w:val="18"/>
          <w:szCs w:val="18"/>
        </w:rPr>
        <w:t xml:space="preserve">CD8A</w:t>
      </w:r>
      <w:r>
        <w:rPr>
          <w:sz w:val="18"/>
          <w:szCs w:val="18"/>
        </w:rPr>
        <w:t xml:space="preserve"> (a; Spearman ρ = 0.735) and </w:t>
      </w:r>
      <w:r>
        <w:rPr>
          <w:i/>
          <w:iCs/>
          <w:sz w:val="18"/>
          <w:szCs w:val="18"/>
        </w:rPr>
        <w:t xml:space="preserve">CD8B</w:t>
      </w:r>
      <w:r>
        <w:rPr>
          <w:sz w:val="18"/>
          <w:szCs w:val="18"/>
        </w:rPr>
        <w:t xml:space="preserve"> (b; ρ = 0.689) expression, shown as log</w:t>
      </w:r>
      <w:r>
        <w:rPr>
          <w:sz w:val="18"/>
          <w:szCs w:val="18"/>
          <w:vertAlign w:val="subscript"/>
        </w:rPr>
        <w:t xml:space="preserve">2</w:t>
      </w:r>
      <w:r>
        <w:rPr>
          <w:sz w:val="18"/>
          <w:szCs w:val="18"/>
        </w:rPr>
        <w:t xml:space="preserve">(DESeq2-normalised count + 1),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ef17e6ea64f6f4afad6ecce76549fdd2b815a383.png"/><Relationship Id="rId21" Type="http://schemas.openxmlformats.org/officeDocument/2006/relationships/image" Target="media/0c1bee960b37a26f9cc7fbbf8b8d8fd977df4cd0.png"/><Relationship Id="rId22" Type="http://schemas.openxmlformats.org/officeDocument/2006/relationships/image" Target="media/0896e7b447678e3c33c67d5cacfdb0bfba4f78a1.png"/><Relationship Id="rId23" Type="http://schemas.openxmlformats.org/officeDocument/2006/relationships/image" Target="media/282a6f4d25fb2ee66164ee736dbf8e7832525096.png"/><Relationship Id="rId24" Type="http://schemas.openxmlformats.org/officeDocument/2006/relationships/image" Target="media/a0b86110c22608f6fb5fc01b74ef549228fffcfa.png"/><Relationship Id="rId25" Type="http://schemas.openxmlformats.org/officeDocument/2006/relationships/image" Target="media/8a098a26ae1d63897479f459e211ca66f761afb0.png"/><Relationship Id="rId26" Type="http://schemas.openxmlformats.org/officeDocument/2006/relationships/image" Target="media/80835cf801b90539ff50ee48b816cf421b9dbf7d.png"/><Relationship Id="rId27" Type="http://schemas.openxmlformats.org/officeDocument/2006/relationships/image" Target="media/9a0d3a3367a1f4a3efdca86ce6a324419e1c5e70.png"/><Relationship Id="rId28" Type="http://schemas.openxmlformats.org/officeDocument/2006/relationships/image" Target="media/fdb0d183fc27ef52cdbdd8ea6ca53f03401de85f.png"/><Relationship Id="rId29" Type="http://schemas.openxmlformats.org/officeDocument/2006/relationships/image" Target="media/55310f06aa6998eb266608c96fab3d0c4025b258.png"/><Relationship Id="rId30" Type="http://schemas.openxmlformats.org/officeDocument/2006/relationships/image" Target="media/244a0febb581c7ea3a3a4e5259225fb65855ddfa.png"/><Relationship Id="rId31" Type="http://schemas.openxmlformats.org/officeDocument/2006/relationships/image" Target="media/2abb6f04bd6b49f84458f2c40d866137138a1fd6.png"/><Relationship Id="rId32" Type="http://schemas.openxmlformats.org/officeDocument/2006/relationships/image" Target="media/68020184b6d13fec56b30dc9d98984113704cda6.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2026-10-25T07:39:18.986Z</dcterms:created>
  <dcterms:modified xsi:type="dcterms:W3CDTF">2026-10-25T07:39:18.988Z</dcterms:modified>
</cp:coreProperties>
</file>

<file path=docProps/custom.xml><?xml version="1.0" encoding="utf-8"?>
<Properties xmlns="http://schemas.openxmlformats.org/officeDocument/2006/custom-properties" xmlns:vt="http://schemas.openxmlformats.org/officeDocument/2006/docPropsVTypes"/>
</file>