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360"/>
        <w:jc w:val="center"/>
      </w:pPr>
      <w:r>
        <w:rPr>
          <w:rFonts w:ascii="Times New Roman" w:hAnsi="Times New Roman"/>
          <w:b/>
          <w:i w:val="0"/>
          <w:sz w:val="32"/>
        </w:rPr>
        <w:t>RESPONSE TO REVIEWERS</w:t>
      </w:r>
    </w:p>
    <w:p>
      <w:pPr>
        <w:spacing w:line="276" w:lineRule="auto" w:after="480"/>
      </w:pPr>
      <w:r>
        <w:rPr>
          <w:rFonts w:ascii="Times New Roman" w:hAnsi="Times New Roman"/>
          <w:b w:val="0"/>
          <w:i/>
          <w:sz w:val="22"/>
        </w:rPr>
        <w:t>Manuscript Title: Immune Microenvironment Remodeling and Transcriptomic Divergence in HPV-Positive versus HPV-Negative Head and Neck Squamous Cell Carcinoma: A TCGA-Based Bioinformatics Analysis</w:t>
        <w:br/>
        <w:t>Authors: Intern Project Research Group</w:t>
        <w:br/>
        <w:t>Date: July 17, 2026</w:t>
      </w:r>
    </w:p>
    <w:p>
      <w:pPr>
        <w:pStyle w:val="Heading2"/>
        <w:keepNext/>
        <w:spacing w:before="240" w:after="120"/>
      </w:pPr>
      <w:r>
        <w:rPr>
          <w:rFonts w:ascii="Times New Roman" w:hAnsi="Times New Roman"/>
          <w:b/>
          <w:color w:val="333333"/>
          <w:sz w:val="26"/>
        </w:rPr>
        <w:t>Dear Editor and Reviewers,</w:t>
      </w:r>
    </w:p>
    <w:p>
      <w:pPr>
        <w:spacing w:line="276" w:lineRule="auto" w:after="240"/>
      </w:pPr>
      <w:r>
        <w:rPr>
          <w:rFonts w:ascii="Times New Roman" w:hAnsi="Times New Roman"/>
          <w:b w:val="0"/>
          <w:i w:val="0"/>
          <w:sz w:val="22"/>
        </w:rPr>
        <w:t>We thank the Editor and the Reviewers for their constructive comments and suggestions on our manuscript. We have carefully revised the manuscript in response to these comments. Below, we provide point-by-point responses explaining the modifications made. Reviewer comments are shown in bold italic font, followed by our responses in standard text.</w:t>
      </w:r>
    </w:p>
    <w:p>
      <w:pPr>
        <w:pStyle w:val="Heading1"/>
        <w:keepNext/>
        <w:spacing w:before="240" w:after="120"/>
      </w:pPr>
      <w:r>
        <w:rPr>
          <w:rFonts w:ascii="Times New Roman" w:hAnsi="Times New Roman"/>
          <w:b/>
          <w:color w:val="333333"/>
          <w:sz w:val="32"/>
        </w:rPr>
        <w:t>Response to Reviewer 1 Comments</w:t>
      </w:r>
    </w:p>
    <w:p>
      <w:pPr>
        <w:spacing w:line="276" w:lineRule="auto" w:after="120"/>
      </w:pPr>
      <w:r>
        <w:rPr>
          <w:rFonts w:ascii="Times New Roman" w:hAnsi="Times New Roman"/>
          <w:b/>
          <w:i/>
          <w:sz w:val="21"/>
        </w:rPr>
        <w:t>Reviewer Comment 1: HPV status in HNSC is highly correlated with the primary anatomical site of the tumor (e.g., oropharyngeal tumors are predominantly HPV-positive, while oral cavity and larynx tumors are predominantly HPV-negative). Did the authors adjust for this confounding variable in their differential gene expression analysis?</w:t>
      </w:r>
    </w:p>
    <w:p>
      <w:pPr>
        <w:spacing w:line="276" w:lineRule="auto" w:after="360"/>
      </w:pPr>
      <w:r>
        <w:rPr>
          <w:rFonts w:ascii="Times New Roman" w:hAnsi="Times New Roman"/>
          <w:b w:val="0"/>
          <w:i w:val="0"/>
          <w:sz w:val="22"/>
        </w:rPr>
        <w:t xml:space="preserve">Response: Thank you for highlighting this important confounding factor. We agree that the strong correlation between HPV status and anatomical site requires adjustment. In our revised analysis, we conducted a sensitivity analysis by incorporating the primary tumor site as a covariate in the DESeq2 design formula: </w:t>
      </w:r>
      <w:r>
        <w:rPr>
          <w:rFonts w:ascii="Times New Roman" w:hAnsi="Times New Roman"/>
          <w:b w:val="0"/>
          <w:i w:val="0"/>
          <w:sz w:val="22"/>
        </w:rPr>
        <w:t>~ primary_site + hpv_status</w:t>
      </w:r>
      <w:r>
        <w:rPr>
          <w:rFonts w:ascii="Times New Roman" w:hAnsi="Times New Roman"/>
          <w:b w:val="0"/>
          <w:i w:val="0"/>
          <w:sz w:val="22"/>
        </w:rPr>
        <w:t>. The adjusted differential expression results are now provided in Supplementary Table S16. Reassuringly, the core meiotic and immune activation transcripts (e.g., STAG3, SMC1B, ZFR2, and immunoglobulin constant genes) remain highly statistically significant and differentially expressed after site adjustment. The sensitivity volcano plots have been included as Supplementary Figures S4 and S8. We have updated the Methods and Results sections to describe this site-adjusted analysis.</w:t>
      </w:r>
    </w:p>
    <w:p>
      <w:pPr>
        <w:spacing w:line="276" w:lineRule="auto" w:after="120"/>
      </w:pPr>
      <w:r>
        <w:rPr>
          <w:rFonts w:ascii="Times New Roman" w:hAnsi="Times New Roman"/>
          <w:b/>
          <w:i/>
          <w:sz w:val="21"/>
        </w:rPr>
        <w:t>Reviewer Comment 2: The deconvolution of immune cell fractions from bulk RNA-seq using CIBERSORTx is a computational estimation. It would strengthen the study if the authors could validate these deconvolution estimates using the expression of key lineage marker genes.</w:t>
      </w:r>
    </w:p>
    <w:p>
      <w:pPr>
        <w:spacing w:line="276" w:lineRule="auto" w:after="360"/>
      </w:pPr>
      <w:r>
        <w:rPr>
          <w:rFonts w:ascii="Times New Roman" w:hAnsi="Times New Roman"/>
          <w:b w:val="0"/>
          <w:i w:val="0"/>
          <w:sz w:val="22"/>
        </w:rPr>
        <w:t>Response: We agree. To validate our CIBERSORTx deconvolution estimates, we performed correlation analysis between estimated immune cell fractions and the expression levels of canonical marker genes. Specifically, we correlated estimated CD8+ T-cell fractions with CD8A and CD8B expression (Figure 9, Figure 10; Spearman rho = 0.673 and 0.636, respectively, P &lt; 2.2e-16). Similarly, we correlated estimated plasma cell fractions with B-cell and plasma cell marker genes (IGKC, IGHA1, IGHM, MS4A1, CD79A, and CD79B). These show high correlation coefficients and are presented in Supplementary Figure S9 and Supplementary Tables S11, S12, and S14. This strong agreement validates our computational estimates.</w:t>
      </w:r>
    </w:p>
    <w:p>
      <w:pPr>
        <w:pStyle w:val="Heading1"/>
        <w:keepNext/>
        <w:spacing w:before="240" w:after="120"/>
      </w:pPr>
      <w:r>
        <w:rPr>
          <w:rFonts w:ascii="Times New Roman" w:hAnsi="Times New Roman"/>
          <w:b/>
          <w:color w:val="333333"/>
          <w:sz w:val="32"/>
        </w:rPr>
        <w:t>Response to Reviewer 2 Comments</w:t>
      </w:r>
    </w:p>
    <w:p>
      <w:pPr>
        <w:spacing w:line="276" w:lineRule="auto" w:after="120"/>
      </w:pPr>
      <w:r>
        <w:rPr>
          <w:rFonts w:ascii="Times New Roman" w:hAnsi="Times New Roman"/>
          <w:b/>
          <w:i/>
          <w:sz w:val="21"/>
        </w:rPr>
        <w:t>Reviewer Comment 1: The prognostic analysis of differentially expressed genes is useful, but the authors should expand their survival analysis. Including standardized Cox proportional-hazards regression hazard ratios would allow a direct comparison of the prognostic impact across candidate genes.</w:t>
      </w:r>
    </w:p>
    <w:p>
      <w:pPr>
        <w:spacing w:line="276" w:lineRule="auto" w:after="360"/>
      </w:pPr>
      <w:r>
        <w:rPr>
          <w:rFonts w:ascii="Times New Roman" w:hAnsi="Times New Roman"/>
          <w:b w:val="0"/>
          <w:i w:val="0"/>
          <w:sz w:val="22"/>
        </w:rPr>
        <w:t>Response: Thank you for this suggestion. We have expanded our survival analysis by calculating standardized Cox proportional-hazards ratios for our top prognostic candidates (including ZFR2, SMC1B, STAG3, and RAD9B). ZFR2 was identified as a key prognostic marker (log-rank P = 0.024), and we have summarized these results in a new table (Table 6) and Supplementary Table S15, as well as visualized them in a forest plot (Figure 15) and Kaplan-Meier curves (Figure 16).</w:t>
      </w:r>
    </w:p>
    <w:p>
      <w:pPr>
        <w:spacing w:line="276" w:lineRule="auto" w:after="120"/>
      </w:pPr>
      <w:r>
        <w:rPr>
          <w:rFonts w:ascii="Times New Roman" w:hAnsi="Times New Roman"/>
          <w:b/>
          <w:i/>
          <w:sz w:val="21"/>
        </w:rPr>
        <w:t>Reviewer Comment 2: Given that HPV is the primary causative agent in cervical cancer (CESC) and drives a subset of head and neck squamous cell carcinomas (HNSC), it would be interesting to discuss whether the transcriptomic alterations are shared across these tissues or are head-and-neck specific.</w:t>
      </w:r>
    </w:p>
    <w:p>
      <w:pPr>
        <w:spacing w:line="276" w:lineRule="auto" w:after="360"/>
      </w:pPr>
      <w:r>
        <w:rPr>
          <w:rFonts w:ascii="Times New Roman" w:hAnsi="Times New Roman"/>
          <w:b w:val="0"/>
          <w:i w:val="0"/>
          <w:sz w:val="22"/>
        </w:rPr>
        <w:t>Response: We thank the reviewer for this insightful comment. We have added a dedicated paragraph to the Discussion section comparing HNSC and CESC molecular profiles (utilizing our CESC analysis script scripts/CESC_DESeq.R and raw data CESC_data.rds). We note that B-cell/plasma-cell enrichment, CD8+ T-cell infiltration, and the suppression of keratinization pathways are highly conserved between HPV-positive HNSC and CESC, suggesting a tissue-independent molecular program driven by HPV E6/E7 oncoproteins.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