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240"/>
        <w:jc w:val="center"/>
      </w:pPr>
      <w:r>
        <w:rPr>
          <w:rFonts w:ascii="Times New Roman" w:hAnsi="Times New Roman"/>
          <w:b/>
          <w:i w:val="0"/>
          <w:sz w:val="32"/>
        </w:rPr>
        <w:t>SUPPLEMENTARY MATERIALS</w:t>
      </w:r>
    </w:p>
    <w:p>
      <w:pPr>
        <w:spacing w:line="276" w:lineRule="auto" w:after="480"/>
      </w:pPr>
      <w:r>
        <w:rPr>
          <w:rFonts w:ascii="Times New Roman" w:hAnsi="Times New Roman"/>
          <w:b w:val="0"/>
          <w:i/>
          <w:sz w:val="22"/>
        </w:rPr>
        <w:t>Manuscript Title: Immune Microenvironment Remodeling and Transcriptomic Divergence in HPV-Positive versus HPV-Negative Head and Neck Squamous Cell Carcinoma: A TCGA-Based Bioinformatics Analysis</w:t>
        <w:br/>
        <w:t>Authors: Intern Project Research Group</w:t>
        <w:br/>
        <w:t>Contents: Supplementary Tables S1-S16, Supplementary Figures S1-S11</w:t>
      </w:r>
    </w:p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333333"/>
          <w:sz w:val="32"/>
        </w:rPr>
        <w:t>Supplementary Tables List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S1 (Supplementary_Table_S1_Clinical_Characteristics.csv): </w:t>
      </w:r>
      <w:r>
        <w:rPr>
          <w:rFonts w:ascii="Times New Roman" w:hAnsi="Times New Roman"/>
          <w:b w:val="0"/>
          <w:i w:val="0"/>
          <w:sz w:val="22"/>
        </w:rPr>
        <w:t>Baseline patient demographics and clinical characteristics stratified by HPV status.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S2 (Supplementary_Table_S2_Complete_DEG_Results.csv): </w:t>
      </w:r>
      <w:r>
        <w:rPr>
          <w:rFonts w:ascii="Times New Roman" w:hAnsi="Times New Roman"/>
          <w:b w:val="0"/>
          <w:i w:val="0"/>
          <w:sz w:val="22"/>
        </w:rPr>
        <w:t>Complete differential expression results (all genes) from DESeq2 (HPV+ vs HPV- HNSC).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S3 (Supplementary_Table_S3_Significant_DEGs.csv): </w:t>
      </w:r>
      <w:r>
        <w:rPr>
          <w:rFonts w:ascii="Times New Roman" w:hAnsi="Times New Roman"/>
          <w:b w:val="0"/>
          <w:i w:val="0"/>
          <w:sz w:val="22"/>
        </w:rPr>
        <w:t>List of significantly differentially expressed genes (padj &lt; 0.05, |log2FC| &gt; 1).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S4 (Supplementary_Table_S4_GO_Enrichment.csv): </w:t>
      </w:r>
      <w:r>
        <w:rPr>
          <w:rFonts w:ascii="Times New Roman" w:hAnsi="Times New Roman"/>
          <w:b w:val="0"/>
          <w:i w:val="0"/>
          <w:sz w:val="22"/>
        </w:rPr>
        <w:t>Gene Ontology (GO) Biological Process terms enriched in upregulated and downregulated DEGs.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S5 (Supplementary_Table_S5_Top_Downregulated_Genes.csv): </w:t>
      </w:r>
      <w:r>
        <w:rPr>
          <w:rFonts w:ascii="Times New Roman" w:hAnsi="Times New Roman"/>
          <w:b w:val="0"/>
          <w:i w:val="0"/>
          <w:sz w:val="22"/>
        </w:rPr>
        <w:t>Detailed metrics and biological descriptions of the top downregulated genes in HPV+ HNSC.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S6 (Supplementary_Table_S6_GSEA_Results.csv): </w:t>
      </w:r>
      <w:r>
        <w:rPr>
          <w:rFonts w:ascii="Times New Roman" w:hAnsi="Times New Roman"/>
          <w:b w:val="0"/>
          <w:i w:val="0"/>
          <w:sz w:val="22"/>
        </w:rPr>
        <w:t>Hallmark gene sets enriched in HPV-positive tumors based on GSEA (fgsea).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S7 (Supplementary_Table_S7_KEGG_Enrichment.csv): </w:t>
      </w:r>
      <w:r>
        <w:rPr>
          <w:rFonts w:ascii="Times New Roman" w:hAnsi="Times New Roman"/>
          <w:b w:val="0"/>
          <w:i w:val="0"/>
          <w:sz w:val="22"/>
        </w:rPr>
        <w:t>KEGG pathway enrichment terms for downregulated genes in HPV+ HNSC.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S8 (Supplementary_Table_S8_GSEA_Results.csv): </w:t>
      </w:r>
      <w:r>
        <w:rPr>
          <w:rFonts w:ascii="Times New Roman" w:hAnsi="Times New Roman"/>
          <w:b w:val="0"/>
          <w:i w:val="0"/>
          <w:sz w:val="22"/>
        </w:rPr>
        <w:t>Additional GSEA metrics and statistics for normalized enrichment scores.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S9 (Supplementary_Table_S9_CIBERSORTx_All_Samples.csv): </w:t>
      </w:r>
      <w:r>
        <w:rPr>
          <w:rFonts w:ascii="Times New Roman" w:hAnsi="Times New Roman"/>
          <w:b w:val="0"/>
          <w:i w:val="0"/>
          <w:sz w:val="22"/>
        </w:rPr>
        <w:t>CIBERSORTx immune cell fraction estimates across 22 cell populations for 279 samples.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S10 (Supplementary_Table_S10_Immune_Cell_Differences.csv): </w:t>
      </w:r>
      <w:r>
        <w:rPr>
          <w:rFonts w:ascii="Times New Roman" w:hAnsi="Times New Roman"/>
          <w:b w:val="0"/>
          <w:i w:val="0"/>
          <w:sz w:val="22"/>
        </w:rPr>
        <w:t>Wilcoxon rank-sum test comparison of cell fractions (HPV+ vs HPV-) with FDR adjustments.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S11 (Supplementary_Table_S11_CD8_Validation.csv): </w:t>
      </w:r>
      <w:r>
        <w:rPr>
          <w:rFonts w:ascii="Times New Roman" w:hAnsi="Times New Roman"/>
          <w:b w:val="0"/>
          <w:i w:val="0"/>
          <w:sz w:val="22"/>
        </w:rPr>
        <w:t>Spearman rank correlation values of CD8+ T cell fractions against CD8A/B marker expression.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S12 (Supplementary_Table_S12_CD8A_Validation.csv / CD8B_Validation.csv): </w:t>
      </w:r>
      <w:r>
        <w:rPr>
          <w:rFonts w:ascii="Times New Roman" w:hAnsi="Times New Roman"/>
          <w:b w:val="0"/>
          <w:i w:val="0"/>
          <w:sz w:val="22"/>
        </w:rPr>
        <w:t>Detailed scatter plot data for CD8 deconvolution validation.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S13 (Supplementary_Table_S13_CD8_M2_Ratio.csv): </w:t>
      </w:r>
      <w:r>
        <w:rPr>
          <w:rFonts w:ascii="Times New Roman" w:hAnsi="Times New Roman"/>
          <w:b w:val="0"/>
          <w:i w:val="0"/>
          <w:sz w:val="22"/>
        </w:rPr>
        <w:t>Wilcoxon statistics comparing the log2 CD8/M2 macrophage ratio between HPV groups.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S14 (Supplementary_Table_S14_Plasma_Cell_Validation.csv): </w:t>
      </w:r>
      <w:r>
        <w:rPr>
          <w:rFonts w:ascii="Times New Roman" w:hAnsi="Times New Roman"/>
          <w:b w:val="0"/>
          <w:i w:val="0"/>
          <w:sz w:val="22"/>
        </w:rPr>
        <w:t>Spearman correlations for plasma cell CIBERSORTx fractions vs B-cell/plasma marker genes.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S15 (Supplementary_Table_S15_Standardized_Cox.csv / Survival_Analysis.csv): </w:t>
      </w:r>
      <w:r>
        <w:rPr>
          <w:rFonts w:ascii="Times New Roman" w:hAnsi="Times New Roman"/>
          <w:b w:val="0"/>
          <w:i w:val="0"/>
          <w:sz w:val="22"/>
        </w:rPr>
        <w:t>Proportional hazards survival stats including hazard ratios and standardized coefficients.</w:t>
      </w:r>
    </w:p>
    <w:p>
      <w:pPr>
        <w:spacing w:line="276" w:lineRule="auto" w:after="120"/>
      </w:pPr>
      <w:r>
        <w:rPr>
          <w:rFonts w:ascii="Times New Roman" w:hAnsi="Times New Roman"/>
          <w:b w:val="0"/>
          <w:i w:val="0"/>
          <w:sz w:val="22"/>
        </w:rPr>
        <w:t xml:space="preserve">Supplementary Table S16 (Supplementary_Table_S16_PrimarySite_Adjusted.csv): </w:t>
      </w:r>
      <w:r>
        <w:rPr>
          <w:rFonts w:ascii="Times New Roman" w:hAnsi="Times New Roman"/>
          <w:b w:val="0"/>
          <w:i w:val="0"/>
          <w:sz w:val="22"/>
        </w:rPr>
        <w:t>DESeq2 results for HPV status adjusted for tumor anatomical site as a covariate.</w:t>
      </w:r>
    </w:p>
    <w:p>
      <w:r>
        <w:br w:type="page"/>
      </w:r>
    </w:p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333333"/>
          <w:sz w:val="32"/>
        </w:rPr>
        <w:t>Supplementary Figures Legends</w:t>
      </w:r>
    </w:p>
    <w:p>
      <w:pPr>
        <w:spacing w:line="276" w:lineRule="auto" w:after="160"/>
      </w:pPr>
      <w:r>
        <w:rPr>
          <w:rFonts w:ascii="Times New Roman" w:hAnsi="Times New Roman"/>
          <w:b w:val="0"/>
          <w:i w:val="0"/>
          <w:sz w:val="22"/>
        </w:rPr>
        <w:t xml:space="preserve">Supplementary Figure S1 (Supplementary_Figure_S1_PCA.png): </w:t>
      </w:r>
      <w:r>
        <w:rPr>
          <w:rFonts w:ascii="Times New Roman" w:hAnsi="Times New Roman"/>
          <w:b w:val="0"/>
          <w:i w:val="0"/>
          <w:sz w:val="22"/>
        </w:rPr>
        <w:t>Principal Component Analysis (PCA) plot of transcriptomic profiles showing global variance stratified by HPV status.</w:t>
      </w:r>
    </w:p>
    <w:p>
      <w:pPr>
        <w:spacing w:line="276" w:lineRule="auto" w:after="160"/>
      </w:pPr>
      <w:r>
        <w:rPr>
          <w:rFonts w:ascii="Times New Roman" w:hAnsi="Times New Roman"/>
          <w:b w:val="0"/>
          <w:i w:val="0"/>
          <w:sz w:val="22"/>
        </w:rPr>
        <w:t xml:space="preserve">Supplementary Figure S2 (Supplementary_Figure_S2.png): </w:t>
      </w:r>
      <w:r>
        <w:rPr>
          <w:rFonts w:ascii="Times New Roman" w:hAnsi="Times New Roman"/>
          <w:b w:val="0"/>
          <w:i w:val="0"/>
          <w:sz w:val="22"/>
        </w:rPr>
        <w:t>Heatmap of deconvolution-based immune cell fraction estimates across 279 tumor samples.</w:t>
      </w:r>
    </w:p>
    <w:p>
      <w:pPr>
        <w:spacing w:line="276" w:lineRule="auto" w:after="160"/>
      </w:pPr>
      <w:r>
        <w:rPr>
          <w:rFonts w:ascii="Times New Roman" w:hAnsi="Times New Roman"/>
          <w:b w:val="0"/>
          <w:i w:val="0"/>
          <w:sz w:val="22"/>
        </w:rPr>
        <w:t xml:space="preserve">Supplementary Figure S3 (Supplementary_Figure_S3.png): </w:t>
      </w:r>
      <w:r>
        <w:rPr>
          <w:rFonts w:ascii="Times New Roman" w:hAnsi="Times New Roman"/>
          <w:b w:val="0"/>
          <w:i w:val="0"/>
          <w:sz w:val="22"/>
        </w:rPr>
        <w:t>Scatter plots showing validation correlations of CIBERSORTx CD8+ T-cell fractions with lineage marker genes.</w:t>
      </w:r>
    </w:p>
    <w:p>
      <w:pPr>
        <w:spacing w:line="276" w:lineRule="auto" w:after="160"/>
      </w:pPr>
      <w:r>
        <w:rPr>
          <w:rFonts w:ascii="Times New Roman" w:hAnsi="Times New Roman"/>
          <w:b w:val="0"/>
          <w:i w:val="0"/>
          <w:sz w:val="22"/>
        </w:rPr>
        <w:t xml:space="preserve">Supplementary Figure S4 (Supplementary_Figure_S4_PrimarySite_Adjusted_Volcano.png): </w:t>
      </w:r>
      <w:r>
        <w:rPr>
          <w:rFonts w:ascii="Times New Roman" w:hAnsi="Times New Roman"/>
          <w:b w:val="0"/>
          <w:i w:val="0"/>
          <w:sz w:val="22"/>
        </w:rPr>
        <w:t>Volcano plot of differentially expressed genes after primary site covariate adjustment.</w:t>
      </w:r>
    </w:p>
    <w:p>
      <w:pPr>
        <w:spacing w:line="276" w:lineRule="auto" w:after="160"/>
      </w:pPr>
      <w:r>
        <w:rPr>
          <w:rFonts w:ascii="Times New Roman" w:hAnsi="Times New Roman"/>
          <w:b w:val="0"/>
          <w:i w:val="0"/>
          <w:sz w:val="22"/>
        </w:rPr>
        <w:t xml:space="preserve">Supplementary Figure S5 (Supplementary_Figure_S5_GO.png): </w:t>
      </w:r>
      <w:r>
        <w:rPr>
          <w:rFonts w:ascii="Times New Roman" w:hAnsi="Times New Roman"/>
          <w:b w:val="0"/>
          <w:i w:val="0"/>
          <w:sz w:val="22"/>
        </w:rPr>
        <w:t>Dot plot of significantly enriched GO Biological Process terms in downregulated genes.</w:t>
      </w:r>
    </w:p>
    <w:p>
      <w:pPr>
        <w:spacing w:line="276" w:lineRule="auto" w:after="160"/>
      </w:pPr>
      <w:r>
        <w:rPr>
          <w:rFonts w:ascii="Times New Roman" w:hAnsi="Times New Roman"/>
          <w:b w:val="0"/>
          <w:i w:val="0"/>
          <w:sz w:val="22"/>
        </w:rPr>
        <w:t xml:space="preserve">Supplementary Figure S6 (Supplementary_Figure_S6.png): </w:t>
      </w:r>
      <w:r>
        <w:rPr>
          <w:rFonts w:ascii="Times New Roman" w:hAnsi="Times New Roman"/>
          <w:b w:val="0"/>
          <w:i w:val="0"/>
          <w:sz w:val="22"/>
        </w:rPr>
        <w:t>KEGG pathway enrichment analysis dot plot highlighting downregulated programs (cell adhesion, keratinisation).</w:t>
      </w:r>
    </w:p>
    <w:p>
      <w:pPr>
        <w:spacing w:line="276" w:lineRule="auto" w:after="160"/>
      </w:pPr>
      <w:r>
        <w:rPr>
          <w:rFonts w:ascii="Times New Roman" w:hAnsi="Times New Roman"/>
          <w:b w:val="0"/>
          <w:i w:val="0"/>
          <w:sz w:val="22"/>
        </w:rPr>
        <w:t xml:space="preserve">Supplementary Figure S7 (Supplementary_Figure_S7.png): </w:t>
      </w:r>
      <w:r>
        <w:rPr>
          <w:rFonts w:ascii="Times New Roman" w:hAnsi="Times New Roman"/>
          <w:b w:val="0"/>
          <w:i w:val="0"/>
          <w:sz w:val="22"/>
        </w:rPr>
        <w:t>Ridge plot of Normalized Enrichment Scores (NES) from Hallmark GSEA analysis.</w:t>
      </w:r>
    </w:p>
    <w:p>
      <w:pPr>
        <w:spacing w:line="276" w:lineRule="auto" w:after="160"/>
      </w:pPr>
      <w:r>
        <w:rPr>
          <w:rFonts w:ascii="Times New Roman" w:hAnsi="Times New Roman"/>
          <w:b w:val="0"/>
          <w:i w:val="0"/>
          <w:sz w:val="22"/>
        </w:rPr>
        <w:t xml:space="preserve">Supplementary Figure S8 (Supplementary_Figure_S8_PrimarySite_Adjusted_Volcano.png): </w:t>
      </w:r>
      <w:r>
        <w:rPr>
          <w:rFonts w:ascii="Times New Roman" w:hAnsi="Times New Roman"/>
          <w:b w:val="0"/>
          <w:i w:val="0"/>
          <w:sz w:val="22"/>
        </w:rPr>
        <w:t>Volcano plot illustrating sensitivity-adjusted DEG significance profiles.</w:t>
      </w:r>
    </w:p>
    <w:p>
      <w:pPr>
        <w:spacing w:line="276" w:lineRule="auto" w:after="160"/>
      </w:pPr>
      <w:r>
        <w:rPr>
          <w:rFonts w:ascii="Times New Roman" w:hAnsi="Times New Roman"/>
          <w:b w:val="0"/>
          <w:i w:val="0"/>
          <w:sz w:val="22"/>
        </w:rPr>
        <w:t xml:space="preserve">Supplementary Figure S9 (Supplementary_Figure_S9.png): </w:t>
      </w:r>
      <w:r>
        <w:rPr>
          <w:rFonts w:ascii="Times New Roman" w:hAnsi="Times New Roman"/>
          <w:b w:val="0"/>
          <w:i w:val="0"/>
          <w:sz w:val="22"/>
        </w:rPr>
        <w:t>Jitter and correlation validations of CIBERSORTx plasma cell estimates against plasma/B-cell specific marker genes (IGKC, IGHA1, IGHM, MS4A1, CD79A, CD79B).</w:t>
      </w:r>
    </w:p>
    <w:p>
      <w:pPr>
        <w:spacing w:line="276" w:lineRule="auto" w:after="160"/>
      </w:pPr>
      <w:r>
        <w:rPr>
          <w:rFonts w:ascii="Times New Roman" w:hAnsi="Times New Roman"/>
          <w:b w:val="0"/>
          <w:i w:val="0"/>
          <w:sz w:val="22"/>
        </w:rPr>
        <w:t xml:space="preserve">Supplementary Figure S10 (Supplementary_Figure_S10.png): </w:t>
      </w:r>
      <w:r>
        <w:rPr>
          <w:rFonts w:ascii="Times New Roman" w:hAnsi="Times New Roman"/>
          <w:b w:val="0"/>
          <w:i w:val="0"/>
          <w:sz w:val="22"/>
        </w:rPr>
        <w:t>Kaplan-Meier overall survival curves stratified by ZFR2 and related cell-cycle prognostic targets.</w:t>
      </w:r>
    </w:p>
    <w:p>
      <w:pPr>
        <w:spacing w:line="276" w:lineRule="auto" w:after="160"/>
      </w:pPr>
      <w:r>
        <w:rPr>
          <w:rFonts w:ascii="Times New Roman" w:hAnsi="Times New Roman"/>
          <w:b w:val="0"/>
          <w:i w:val="0"/>
          <w:sz w:val="22"/>
        </w:rPr>
        <w:t xml:space="preserve">Supplementary Figure S11 (Supplementary_Figure_S11.png): </w:t>
      </w:r>
      <w:r>
        <w:rPr>
          <w:rFonts w:ascii="Times New Roman" w:hAnsi="Times New Roman"/>
          <w:b w:val="0"/>
          <w:i w:val="0"/>
          <w:sz w:val="22"/>
        </w:rPr>
        <w:t>Forest plot showing hazard ratios and confidence intervals from meiotic gene Cox proportional hazards regression.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