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</w:t>
      </w:r>
    </w:p>
    <w:p>
      <w:pPr>
        <w:pStyle w:val="Subtitle"/>
      </w:pPr>
      <w:r>
        <w:t>Compact business scope, rules, BI and acceptance requirements</w:t>
      </w:r>
    </w:p>
    <w:p>
      <w:pPr>
        <w:spacing w:after="120"/>
      </w:pPr>
      <w:r>
        <w:rPr>
          <w:b/>
          <w:color w:val="087F8C"/>
          <w:sz w:val="18"/>
        </w:rPr>
        <w:t>FINAL COMPACT EDITION  |  Student-only B2C: Free, Pro &amp; Premium</w:t>
      </w:r>
    </w:p>
    <w:p>
      <w:pPr>
        <w:pStyle w:val="Heading1"/>
      </w:pPr>
      <w:r>
        <w:t>1. Purpose and Business Context</w:t>
      </w:r>
    </w:p>
    <w:p>
      <w:r>
        <w:t>This BRD translates the approved Business Vision into verifiable business requirements for a student-only B2C mobile startup. Students are the users, customers and subscribers. Revenue is limited to optional Pro/Premium monthly or annual subscriptions.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300"/>
      </w:tblGrid>
      <w:tr>
        <w:tc>
          <w:tcPr>
            <w:tcW w:type="dxa" w:w="9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EEFF"/>
          </w:tcPr>
          <w:p>
            <w:pPr>
              <w:spacing w:after="0"/>
            </w:pPr>
            <w:r>
              <w:rPr>
                <w:b/>
                <w:color w:val="412E72"/>
              </w:rPr>
              <w:t xml:space="preserve">Product boundary: </w:t>
            </w:r>
            <w:r>
              <w:t>Academic workload-related stress-risk detection is non-diagnostic and never replaces medical or mental-health services.</w:t>
            </w:r>
          </w:p>
        </w:tc>
      </w:tr>
    </w:tbl>
    <w:p>
      <w:pPr>
        <w:spacing w:after="0"/>
      </w:pPr>
    </w:p>
    <w:p>
      <w:pPr>
        <w:pStyle w:val="Heading1"/>
      </w:pPr>
      <w:r>
        <w:t>2. Objectives and Stakeholders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4700"/>
        <w:gridCol w:w="4600"/>
      </w:tblGrid>
      <w:tr>
        <w:tc>
          <w:tcPr>
            <w:tcW w:type="dxa" w:w="4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4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</w:tr>
      <w:tr>
        <w:tc>
          <w:tcPr>
            <w:tcW w:type="dxa" w:w="4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Organize academic work</w:t>
            </w:r>
          </w:p>
        </w:tc>
        <w:tc>
          <w:tcPr>
            <w:tcW w:type="dxa" w:w="4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First subject/task activation</w:t>
            </w:r>
          </w:p>
        </w:tc>
      </w:tr>
      <w:tr>
        <w:tc>
          <w:tcPr>
            <w:tcW w:type="dxa" w:w="4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Improve execution</w:t>
            </w:r>
          </w:p>
        </w:tc>
        <w:tc>
          <w:tcPr>
            <w:tcW w:type="dxa" w:w="4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On-time completion and overdue trend</w:t>
            </w:r>
          </w:p>
        </w:tc>
      </w:tr>
      <w:tr>
        <w:tc>
          <w:tcPr>
            <w:tcW w:type="dxa" w:w="4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Identify overload early</w:t>
            </w:r>
          </w:p>
        </w:tc>
        <w:tc>
          <w:tcPr>
            <w:tcW w:type="dxa" w:w="4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Risk evaluation and alert usefulness</w:t>
            </w:r>
          </w:p>
        </w:tc>
      </w:tr>
      <w:tr>
        <w:tc>
          <w:tcPr>
            <w:tcW w:type="dxa" w:w="4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Provide actionable guidance</w:t>
            </w:r>
          </w:p>
        </w:tc>
        <w:tc>
          <w:tcPr>
            <w:tcW w:type="dxa" w:w="4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Recommendation action rate</w:t>
            </w:r>
          </w:p>
        </w:tc>
      </w:tr>
      <w:tr>
        <w:tc>
          <w:tcPr>
            <w:tcW w:type="dxa" w:w="4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Build recurring value</w:t>
            </w:r>
          </w:p>
        </w:tc>
        <w:tc>
          <w:tcPr>
            <w:tcW w:type="dxa" w:w="4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Weekly meaningful planning users and retention</w:t>
            </w:r>
          </w:p>
        </w:tc>
      </w:tr>
      <w:tr>
        <w:tc>
          <w:tcPr>
            <w:tcW w:type="dxa" w:w="4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Validate subscriptions</w:t>
            </w:r>
          </w:p>
        </w:tc>
        <w:tc>
          <w:tcPr>
            <w:tcW w:type="dxa" w:w="4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Plan interest and sandbox conversion</w:t>
            </w:r>
          </w:p>
        </w:tc>
      </w:tr>
    </w:tbl>
    <w:p>
      <w:pPr>
        <w:spacing w:after="0"/>
      </w:pPr>
    </w:p>
    <w:p>
      <w:r>
        <w:t>Stakeholders include Free, Pro and Premium students; startup/product owner; development/AI/QA team; customer support; and future compliant payment/app-store providers.</w:t>
      </w:r>
    </w:p>
    <w:p>
      <w:pPr>
        <w:pStyle w:val="Heading1"/>
      </w:pPr>
      <w:r>
        <w:t>3. Scope</w:t>
      </w:r>
    </w:p>
    <w:p>
      <w:r>
        <w:t>In scope: authentication, subjects, task CRUD, calendar, planner, focus timer, continuous-study detection, workload-risk analysis, recommendations, notifications, dashboard, plan entitlements, sandbox upgrade, analytics, settings and feedback.</w:t>
      </w:r>
    </w:p>
    <w:p>
      <w:r>
        <w:t>Out of scope for MVP: clinical diagnosis, call-style alarm guarantee, real payment, institutional products, advertising, sale of personal data, advanced trained ML and mandatory public-store release.</w:t>
      </w:r>
    </w:p>
    <w:p>
      <w:pPr>
        <w:pStyle w:val="Heading1"/>
      </w:pPr>
      <w:r>
        <w:t>4. Core Student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300"/>
        <w:gridCol w:w="7300"/>
        <w:gridCol w:w="700"/>
      </w:tblGrid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BR-01</w:t>
            </w:r>
          </w:p>
        </w:tc>
        <w:tc>
          <w:tcPr>
            <w:tcW w:type="dxa" w:w="7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Register, sign in/out and persist session</w:t>
            </w:r>
          </w:p>
        </w:tc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BR-02</w:t>
            </w:r>
          </w:p>
        </w:tc>
        <w:tc>
          <w:tcPr>
            <w:tcW w:type="dxa" w:w="7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See only own records</w:t>
            </w:r>
          </w:p>
        </w:tc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BR-03</w:t>
            </w:r>
          </w:p>
        </w:tc>
        <w:tc>
          <w:tcPr>
            <w:tcW w:type="dxa" w:w="7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Manage subjects and academic tasks</w:t>
            </w:r>
          </w:p>
        </w:tc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BR-04</w:t>
            </w:r>
          </w:p>
        </w:tc>
        <w:tc>
          <w:tcPr>
            <w:tcW w:type="dxa" w:w="7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Capture type, deadline, priority, estimate, status and subtasks</w:t>
            </w:r>
          </w:p>
        </w:tc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BR-05</w:t>
            </w:r>
          </w:p>
        </w:tc>
        <w:tc>
          <w:tcPr>
            <w:tcW w:type="dxa" w:w="7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Search, filter, complete, reopen, reschedule and delete</w:t>
            </w:r>
          </w:p>
        </w:tc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BR-06</w:t>
            </w:r>
          </w:p>
        </w:tc>
        <w:tc>
          <w:tcPr>
            <w:tcW w:type="dxa" w:w="7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Use calendar and daily/weekly planner</w:t>
            </w:r>
          </w:p>
        </w:tc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BR-07</w:t>
            </w:r>
          </w:p>
        </w:tc>
        <w:tc>
          <w:tcPr>
            <w:tcW w:type="dxa" w:w="7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Start, pause, resume and finish study sessions</w:t>
            </w:r>
          </w:p>
        </w:tc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BR-08</w:t>
            </w:r>
          </w:p>
        </w:tc>
        <w:tc>
          <w:tcPr>
            <w:tcW w:type="dxa" w:w="7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View progress/productivity dashboard</w:t>
            </w:r>
          </w:p>
        </w:tc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BR-09</w:t>
            </w:r>
          </w:p>
        </w:tc>
        <w:tc>
          <w:tcPr>
            <w:tcW w:type="dxa" w:w="7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Configure alerts, quiet hours and breaks</w:t>
            </w:r>
          </w:p>
        </w:tc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BR-10</w:t>
            </w:r>
          </w:p>
        </w:tc>
        <w:tc>
          <w:tcPr>
            <w:tcW w:type="dxa" w:w="7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Submit recommendation/product feedback</w:t>
            </w:r>
          </w:p>
        </w:tc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</w:t>
            </w:r>
          </w:p>
        </w:tc>
      </w:tr>
    </w:tbl>
    <w:p>
      <w:pPr>
        <w:spacing w:after="0"/>
      </w:pPr>
    </w:p>
    <w:p>
      <w:pPr>
        <w:pStyle w:val="Heading1"/>
      </w:pPr>
      <w:r>
        <w:t>5. Workload-risk and Recommendation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450"/>
        <w:gridCol w:w="7850"/>
      </w:tblGrid>
      <w:tr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WL-01</w:t>
            </w:r>
          </w:p>
        </w:tc>
        <w:tc>
          <w:tcPr>
            <w:tcW w:type="dxa" w:w="7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Analyze pending, overdue, due-soon and high-priority tasks.</w:t>
            </w:r>
          </w:p>
        </w:tc>
      </w:tr>
      <w:tr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WL-02</w:t>
            </w:r>
          </w:p>
        </w:tc>
        <w:tc>
          <w:tcPr>
            <w:tcW w:type="dxa" w:w="7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Compare estimated effort with time available before deadlines.</w:t>
            </w:r>
          </w:p>
        </w:tc>
      </w:tr>
      <w:tr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WL-03</w:t>
            </w:r>
          </w:p>
        </w:tc>
        <w:tc>
          <w:tcPr>
            <w:tcW w:type="dxa" w:w="7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Consider clustering, backlog, completion delay, rescheduling and long study.</w:t>
            </w:r>
          </w:p>
        </w:tc>
      </w:tr>
      <w:tr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WL-04</w:t>
            </w:r>
          </w:p>
        </w:tc>
        <w:tc>
          <w:tcPr>
            <w:tcW w:type="dxa" w:w="7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Return Low, Moderate, High or Critical with reasons and history.</w:t>
            </w:r>
          </w:p>
        </w:tc>
      </w:tr>
      <w:tr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WL-05</w:t>
            </w:r>
          </w:p>
        </w:tc>
        <w:tc>
          <w:tcPr>
            <w:tcW w:type="dxa" w:w="7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Require at least two strong signals for High/Critical.</w:t>
            </w:r>
          </w:p>
        </w:tc>
      </w:tr>
      <w:tr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RC-01</w:t>
            </w:r>
          </w:p>
        </w:tc>
        <w:tc>
          <w:tcPr>
            <w:tcW w:type="dxa" w:w="7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Recommend priority, task splitting, rescheduling and study blocks.</w:t>
            </w:r>
          </w:p>
        </w:tc>
      </w:tr>
      <w:tr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RC-02</w:t>
            </w:r>
          </w:p>
        </w:tc>
        <w:tc>
          <w:tcPr>
            <w:tcW w:type="dxa" w:w="7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Recommend a 10-15 minute break after excessive continuous study.</w:t>
            </w:r>
          </w:p>
        </w:tc>
      </w:tr>
      <w:tr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RC-03</w:t>
            </w:r>
          </w:p>
        </w:tc>
        <w:tc>
          <w:tcPr>
            <w:tcW w:type="dxa" w:w="7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Allow accept, edit, dismiss and feedback; never change plans silently.</w:t>
            </w:r>
          </w:p>
        </w:tc>
      </w:tr>
    </w:tbl>
    <w:p>
      <w:pPr>
        <w:spacing w:after="0"/>
      </w:pPr>
    </w:p>
    <w:p>
      <w:pPr>
        <w:pStyle w:val="Heading1"/>
      </w:pPr>
      <w:r>
        <w:t>6. Alert Requirements</w:t>
      </w:r>
    </w:p>
    <w:p>
      <w:pPr>
        <w:pStyle w:val="ListBullet"/>
      </w:pPr>
      <w:r>
        <w:t>Deadline reminder based on user timing.</w:t>
      </w:r>
    </w:p>
    <w:p>
      <w:pPr>
        <w:pStyle w:val="ListBullet"/>
      </w:pPr>
      <w:r>
        <w:t>Workload-risk alert after rules and cooldown.</w:t>
      </w:r>
    </w:p>
    <w:p>
      <w:pPr>
        <w:pStyle w:val="ListBullet"/>
      </w:pPr>
      <w:r>
        <w:t>Continuous-study break alert.</w:t>
      </w:r>
    </w:p>
    <w:p>
      <w:pPr>
        <w:pStyle w:val="ListBullet"/>
      </w:pPr>
      <w:r>
        <w:t>Sound/vibration only where permission, device mode and OS allow.</w:t>
      </w:r>
    </w:p>
    <w:p>
      <w:pPr>
        <w:pStyle w:val="ListBullet"/>
      </w:pPr>
      <w:r>
        <w:t>Tap opens relevant task or explanation.</w:t>
      </w:r>
    </w:p>
    <w:p>
      <w:pPr>
        <w:pStyle w:val="ListBullet"/>
      </w:pPr>
      <w:r>
        <w:t>Support snooze, dismiss, quiet hours and duplicate prevention.</w:t>
      </w:r>
    </w:p>
    <w:p>
      <w:pPr>
        <w:pStyle w:val="ListBullet"/>
      </w:pPr>
      <w:r>
        <w:t>Do not promise continuous call-like ringing.</w:t>
      </w:r>
    </w:p>
    <w:p>
      <w:pPr>
        <w:pStyle w:val="Heading1"/>
      </w:pPr>
      <w:r>
        <w:t>7. Free, Pro and Premium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2200"/>
        <w:gridCol w:w="2200"/>
        <w:gridCol w:w="2300"/>
      </w:tblGrid>
      <w:tr>
        <w:tc>
          <w:tcPr>
            <w:tcW w:type="dxa" w:w="2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Free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Pro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Premium</w:t>
            </w:r>
          </w:p>
        </w:tc>
      </w:tr>
      <w:tr>
        <w:tc>
          <w:tcPr>
            <w:tcW w:type="dxa" w:w="2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Tasks/planner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Core allowance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High/unlimited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Highest fair use</w:t>
            </w:r>
          </w:p>
        </w:tc>
      </w:tr>
      <w:tr>
        <w:tc>
          <w:tcPr>
            <w:tcW w:type="dxa" w:w="2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Risk analysis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Basic current level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Full factors/history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Deep trend/forecasting</w:t>
            </w:r>
          </w:p>
        </w:tc>
      </w:tr>
      <w:tr>
        <w:tc>
          <w:tcPr>
            <w:tcW w:type="dxa" w:w="2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Recommendations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Essential/limited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Personalized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Advanced automation</w:t>
            </w:r>
          </w:p>
        </w:tc>
      </w:tr>
      <w:tr>
        <w:tc>
          <w:tcPr>
            <w:tcW w:type="dxa" w:w="2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Core summary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Advanced analytics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Deep insights</w:t>
            </w:r>
          </w:p>
        </w:tc>
      </w:tr>
      <w:tr>
        <w:tc>
          <w:tcPr>
            <w:tcW w:type="dxa" w:w="2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AI use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Limited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Higher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Highest fair use</w:t>
            </w:r>
          </w:p>
        </w:tc>
      </w:tr>
    </w:tbl>
    <w:p>
      <w:pPr>
        <w:spacing w:after="0"/>
      </w:pPr>
    </w:p>
    <w:p>
      <w:pPr>
        <w:pStyle w:val="ListBullet"/>
      </w:pPr>
      <w:r>
        <w:t>MVP checkout is sandbox only and clearly labelled No real payment.</w:t>
      </w:r>
    </w:p>
    <w:p>
      <w:pPr>
        <w:pStyle w:val="ListBullet"/>
      </w:pPr>
      <w:r>
        <w:t>Downgrade never deletes student-created data.</w:t>
      </w:r>
    </w:p>
    <w:p>
      <w:pPr>
        <w:pStyle w:val="ListBullet"/>
      </w:pPr>
      <w:r>
        <w:t>Basic severe-risk explanation and privacy controls remain available.</w:t>
      </w:r>
    </w:p>
    <w:p>
      <w:pPr>
        <w:pStyle w:val="ListBullet"/>
      </w:pPr>
      <w:r>
        <w:t>Future live payment uses compliant provider; raw card data is never stored.</w:t>
      </w:r>
    </w:p>
    <w:p>
      <w:pPr>
        <w:pStyle w:val="Heading1"/>
      </w:pPr>
      <w:r>
        <w:t>8. BI and Data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500"/>
        <w:gridCol w:w="6800"/>
      </w:tblGrid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6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Measures</w:t>
            </w:r>
          </w:p>
        </w:tc>
      </w:tr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Tasks</w:t>
            </w:r>
          </w:p>
        </w:tc>
        <w:tc>
          <w:tcPr>
            <w:tcW w:type="dxa" w:w="6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Pending, completed, overdue, due soon, estimated hours</w:t>
            </w:r>
          </w:p>
        </w:tc>
      </w:tr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Productivity</w:t>
            </w:r>
          </w:p>
        </w:tc>
        <w:tc>
          <w:tcPr>
            <w:tcW w:type="dxa" w:w="6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On-time rate, completion delay, study time, planned vs actual</w:t>
            </w:r>
          </w:p>
        </w:tc>
      </w:tr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Workload</w:t>
            </w:r>
          </w:p>
        </w:tc>
        <w:tc>
          <w:tcPr>
            <w:tcW w:type="dxa" w:w="6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Score, level, factors and trend</w:t>
            </w:r>
          </w:p>
        </w:tc>
      </w:tr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Guidance</w:t>
            </w:r>
          </w:p>
        </w:tc>
        <w:tc>
          <w:tcPr>
            <w:tcW w:type="dxa" w:w="6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Viewed, accepted, dismissed and acted upon</w:t>
            </w:r>
          </w:p>
        </w:tc>
      </w:tr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Subscription</w:t>
            </w:r>
          </w:p>
        </w:tc>
        <w:tc>
          <w:tcPr>
            <w:tcW w:type="dxa" w:w="6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Paywall view, selected plan/period and sandbox conversion</w:t>
            </w:r>
          </w:p>
        </w:tc>
      </w:tr>
    </w:tbl>
    <w:p>
      <w:pPr>
        <w:spacing w:after="0"/>
      </w:pPr>
    </w:p>
    <w:p>
      <w:pPr>
        <w:pStyle w:val="ListBullet"/>
      </w:pPr>
      <w:r>
        <w:t>Document metric formulas and timezone rules.</w:t>
      </w:r>
    </w:p>
    <w:p>
      <w:pPr>
        <w:pStyle w:val="ListBullet"/>
      </w:pPr>
      <w:r>
        <w:t>Reconcile dashboard totals to operational records.</w:t>
      </w:r>
    </w:p>
    <w:p>
      <w:pPr>
        <w:pStyle w:val="ListBullet"/>
      </w:pPr>
      <w:r>
        <w:t>Do not send task titles/notes into product analytics by default.</w:t>
      </w:r>
    </w:p>
    <w:p>
      <w:pPr>
        <w:pStyle w:val="ListBullet"/>
      </w:pPr>
      <w:r>
        <w:t>Use minimum necessary data and clear retention/deletion rules.</w:t>
      </w:r>
    </w:p>
    <w:p>
      <w:pPr>
        <w:pStyle w:val="Heading1"/>
      </w:pPr>
      <w:r>
        <w:t>9. Business Rules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300"/>
        <w:gridCol w:w="8000"/>
      </w:tblGrid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8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Statement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R1</w:t>
            </w:r>
          </w:p>
        </w:tc>
        <w:tc>
          <w:tcPr>
            <w:tcW w:type="dxa" w:w="8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High/Critical requires multiple strong signals.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R2</w:t>
            </w:r>
          </w:p>
        </w:tc>
        <w:tc>
          <w:tcPr>
            <w:tcW w:type="dxa" w:w="8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Recommendations show reasons and remain dismissible.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R3</w:t>
            </w:r>
          </w:p>
        </w:tc>
        <w:tc>
          <w:tcPr>
            <w:tcW w:type="dxa" w:w="8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Completion timestamps support on-time calculations.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R4</w:t>
            </w:r>
          </w:p>
        </w:tc>
        <w:tc>
          <w:tcPr>
            <w:tcW w:type="dxa" w:w="8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User ownership is enforced for every personal record.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R5</w:t>
            </w:r>
          </w:p>
        </w:tc>
        <w:tc>
          <w:tcPr>
            <w:tcW w:type="dxa" w:w="8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No diagnostic language, hidden monitoring, advertising or data sale.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R6</w:t>
            </w:r>
          </w:p>
        </w:tc>
        <w:tc>
          <w:tcPr>
            <w:tcW w:type="dxa" w:w="8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Subscription prices, terms, renewal and cancellation are transparent.</w:t>
            </w:r>
          </w:p>
        </w:tc>
      </w:tr>
      <w:tr>
        <w:tc>
          <w:tcPr>
            <w:tcW w:type="dxa" w:w="1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R7</w:t>
            </w:r>
          </w:p>
        </w:tc>
        <w:tc>
          <w:tcPr>
            <w:tcW w:type="dxa" w:w="8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Code is not considered complete until relevant verification passes.</w:t>
            </w:r>
          </w:p>
        </w:tc>
      </w:tr>
    </w:tbl>
    <w:p>
      <w:pPr>
        <w:spacing w:after="0"/>
      </w:pPr>
    </w:p>
    <w:p>
      <w:pPr>
        <w:pStyle w:val="Heading1"/>
      </w:pPr>
      <w:r>
        <w:t>10. Non-functional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300"/>
        <w:gridCol w:w="7000"/>
      </w:tblGrid>
      <w:t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7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Secure auth/token, JWT/RLS ownership, no committed secrets</w:t>
            </w:r>
          </w:p>
        </w:tc>
      </w:tr>
      <w:t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Privacy</w:t>
            </w:r>
          </w:p>
        </w:tc>
        <w:tc>
          <w:tcPr>
            <w:tcW w:type="dxa" w:w="7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Minimum data, deletion path and no data sale</w:t>
            </w:r>
          </w:p>
        </w:tc>
      </w:tr>
      <w:t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7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Responsive normal-volume mobile workflows</w:t>
            </w:r>
          </w:p>
        </w:tc>
      </w:tr>
      <w:t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Reliability</w:t>
            </w:r>
          </w:p>
        </w:tc>
        <w:tc>
          <w:tcPr>
            <w:tcW w:type="dxa" w:w="7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Persistent data, recoverable errors and duplicate protection</w:t>
            </w:r>
          </w:p>
        </w:tc>
      </w:tr>
      <w:t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Accessibility</w:t>
            </w:r>
          </w:p>
        </w:tc>
        <w:tc>
          <w:tcPr>
            <w:tcW w:type="dxa" w:w="7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Contrast, scalable text, labels and 44x44 touch targets</w:t>
            </w:r>
          </w:p>
        </w:tc>
      </w:tr>
      <w:t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Compatibility</w:t>
            </w:r>
          </w:p>
        </w:tc>
        <w:tc>
          <w:tcPr>
            <w:tcW w:type="dxa" w:w="7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One iPhone/Android codebase; platform-aware alerts</w:t>
            </w:r>
          </w:p>
        </w:tc>
      </w:tr>
      <w:t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Maintainability</w:t>
            </w:r>
          </w:p>
        </w:tc>
        <w:tc>
          <w:tcPr>
            <w:tcW w:type="dxa" w:w="7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Typed modular code, migrations, lint and tests</w:t>
            </w:r>
          </w:p>
        </w:tc>
      </w:tr>
      <w:t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Explainability</w:t>
            </w:r>
          </w:p>
        </w:tc>
        <w:tc>
          <w:tcPr>
            <w:tcW w:type="dxa" w:w="7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Versioned deterministic workload output</w:t>
            </w:r>
          </w:p>
        </w:tc>
      </w:tr>
    </w:tbl>
    <w:p>
      <w:pPr>
        <w:spacing w:after="0"/>
      </w:pPr>
    </w:p>
    <w:p>
      <w:pPr>
        <w:pStyle w:val="Heading1"/>
      </w:pPr>
      <w:r>
        <w:t>11. Acceptance Criteria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400"/>
        <w:gridCol w:w="7900"/>
      </w:tblGrid>
      <w:tr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AC-01</w:t>
            </w:r>
          </w:p>
        </w:tc>
        <w:tc>
          <w:tcPr>
            <w:tcW w:type="dxa" w:w="7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Register/login/logout and session persistence work.</w:t>
            </w:r>
          </w:p>
        </w:tc>
      </w:tr>
      <w:tr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AC-02</w:t>
            </w:r>
          </w:p>
        </w:tc>
        <w:tc>
          <w:tcPr>
            <w:tcW w:type="dxa" w:w="7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Task CRUD persists after restart; two accounts remain isolated.</w:t>
            </w:r>
          </w:p>
        </w:tc>
      </w:tr>
      <w:tr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AC-03</w:t>
            </w:r>
          </w:p>
        </w:tc>
        <w:tc>
          <w:tcPr>
            <w:tcW w:type="dxa" w:w="7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Low and overload fixtures produce different explained levels.</w:t>
            </w:r>
          </w:p>
        </w:tc>
      </w:tr>
      <w:tr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AC-04</w:t>
            </w:r>
          </w:p>
        </w:tc>
        <w:tc>
          <w:tcPr>
            <w:tcW w:type="dxa" w:w="7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High/Critical safety gate passes boundary tests.</w:t>
            </w:r>
          </w:p>
        </w:tc>
      </w:tr>
      <w:tr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AC-05</w:t>
            </w:r>
          </w:p>
        </w:tc>
        <w:tc>
          <w:tcPr>
            <w:tcW w:type="dxa" w:w="7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Timer and break workflow are recorded.</w:t>
            </w:r>
          </w:p>
        </w:tc>
      </w:tr>
      <w:tr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AC-06</w:t>
            </w:r>
          </w:p>
        </w:tc>
        <w:tc>
          <w:tcPr>
            <w:tcW w:type="dxa" w:w="7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Supported physical device demonstrates required alert behaviour.</w:t>
            </w:r>
          </w:p>
        </w:tc>
      </w:tr>
      <w:tr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AC-07</w:t>
            </w:r>
          </w:p>
        </w:tc>
        <w:tc>
          <w:tcPr>
            <w:tcW w:type="dxa" w:w="7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Dashboard totals reconcile.</w:t>
            </w:r>
          </w:p>
        </w:tc>
      </w:tr>
      <w:tr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AC-08</w:t>
            </w:r>
          </w:p>
        </w:tc>
        <w:tc>
          <w:tcPr>
            <w:tcW w:type="dxa" w:w="7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Free/Pro/Premium sandbox upgrade works with no payment data.</w:t>
            </w:r>
          </w:p>
        </w:tc>
      </w:tr>
      <w:tr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AC-09</w:t>
            </w:r>
          </w:p>
        </w:tc>
        <w:tc>
          <w:tcPr>
            <w:tcW w:type="dxa" w:w="7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Typecheck, lint, tests and migration checks pass.</w:t>
            </w:r>
          </w:p>
        </w:tc>
      </w:tr>
      <w:tr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AC-10</w:t>
            </w:r>
          </w:p>
        </w:tc>
        <w:tc>
          <w:tcPr>
            <w:tcW w:type="dxa" w:w="7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Known limitations and future live-payment work are documented.</w:t>
            </w:r>
          </w:p>
        </w:tc>
      </w:tr>
    </w:tbl>
    <w:p>
      <w:pPr>
        <w:spacing w:after="0"/>
      </w:pPr>
    </w:p>
    <w:p>
      <w:pPr>
        <w:pStyle w:val="Heading1"/>
      </w:pPr>
      <w:r>
        <w:t>12. Delivery and Business Definition of Done</w:t>
      </w:r>
    </w:p>
    <w:p>
      <w:r>
        <w:t>Delivery sequence: planning -&gt; foundation -&gt; auth/data -&gt; tasks -&gt; planner/timer -&gt; workload intelligence -&gt; alerts -&gt; dashboard -&gt; sandbox subscription -&gt; stabilization. Each phase requires an evidence-based PASS before the next starts.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300"/>
      </w:tblGrid>
      <w:tr>
        <w:tc>
          <w:tcPr>
            <w:tcW w:type="dxa" w:w="9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EEFF"/>
          </w:tcPr>
          <w:p>
            <w:pPr>
              <w:spacing w:after="0"/>
            </w:pPr>
            <w:r>
              <w:rPr>
                <w:b/>
                <w:color w:val="412E72"/>
              </w:rPr>
              <w:t xml:space="preserve">Business DoD: </w:t>
            </w:r>
            <w:r>
              <w:t>Must requirements work end to end; workload output is explainable and non-diagnostic; metrics reconcile; privacy/ownership are tested; sandbox never charges money; and the product demonstrates both student value and a sustainable subscription path.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Studora Startup Project  |  July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667085"/>
        <w:sz w:val="16"/>
      </w:rPr>
      <w:t>STUDORA  |  BRD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/>
      <w:color w:val="2531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412E7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87F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Calibri" w:hAnsi="Calibri"/>
      <w:b/>
      <w:bCs/>
      <w:color w:val="2531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412E7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ind w:left="403" w:hanging="23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ind w:left="403" w:hanging="23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