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VISION</w:t>
      </w:r>
    </w:p>
    <w:p>
      <w:pPr>
        <w:pStyle w:val="Subtitle"/>
      </w:pPr>
      <w:r>
        <w:t>AI-powered academic productivity and workload-intelligence startup</w:t>
      </w:r>
    </w:p>
    <w:p>
      <w:pPr>
        <w:spacing w:after="120"/>
      </w:pPr>
      <w:r>
        <w:rPr>
          <w:b/>
          <w:color w:val="087F8C"/>
          <w:sz w:val="18"/>
        </w:rPr>
        <w:t>FINAL COMPACT EDITION  |  Student-only B2C: Free, Pro &amp; Premium</w:t>
      </w:r>
    </w:p>
    <w:p>
      <w:pPr>
        <w:pStyle w:val="Heading1"/>
      </w:pPr>
      <w:r>
        <w:t>1. Executive Vision</w:t>
      </w:r>
    </w:p>
    <w:p>
      <w:r>
        <w:rPr>
          <w:b/>
        </w:rPr>
        <w:t>Vision:</w:t>
      </w:r>
      <w:r>
        <w:t xml:space="preserve"> To become a trusted intelligent academic companion that helps university students organize academic responsibilities, complete important work on time and maintain sustainable study habits.</w:t>
      </w:r>
    </w:p>
    <w:p>
      <w:r>
        <w:rPr>
          <w:b/>
        </w:rPr>
        <w:t>Mission:</w:t>
      </w:r>
      <w:r>
        <w:t xml:space="preserve"> Combine academic task management, planning, workload intelligence, personalized recommendations and productivity analytics in one accessible mobile experience.</w:t>
      </w:r>
    </w:p>
    <w:tbl>
      <w:tblPr>
        <w:tblW w:type="auto" w:w="0"/>
        <w:jc w:val="left"/>
        <w:tblLook w:firstColumn="1" w:firstRow="1" w:lastColumn="0" w:lastRow="0" w:noHBand="0" w:noVBand="1" w:val="04A0"/>
        <w:tblLayout w:type="fixed"/>
      </w:tblPr>
      <w:tblGrid>
        <w:gridCol w:w="9300"/>
      </w:tblGrid>
      <w:tr>
        <w:tc>
          <w:tcPr>
            <w:tcW w:type="dxa" w:w="9300"/>
            <w:tcMar>
              <w:top w:w="70" w:type="dxa"/>
              <w:start w:w="100" w:type="dxa"/>
              <w:bottom w:w="70" w:type="dxa"/>
              <w:end w:w="100" w:type="dxa"/>
            </w:tcMar>
            <w:vAlign w:val="center"/>
            <w:shd w:fill="F1EEFF"/>
          </w:tcPr>
          <w:p>
            <w:pPr>
              <w:spacing w:after="0"/>
            </w:pPr>
            <w:r>
              <w:rPr>
                <w:b/>
                <w:color w:val="412E72"/>
              </w:rPr>
              <w:t xml:space="preserve">Business concept: </w:t>
            </w:r>
            <w:r>
              <w:t>Studora is a direct-to-student freemium startup. Students use a useful Free plan and may purchase Pro or Premium monthly/annual subscriptions for advanced intelligence, automation and analytics.</w:t>
            </w:r>
          </w:p>
        </w:tc>
      </w:tr>
    </w:tbl>
    <w:p>
      <w:pPr>
        <w:spacing w:after="0"/>
      </w:pPr>
    </w:p>
    <w:p>
      <w:pPr>
        <w:pStyle w:val="Heading1"/>
      </w:pPr>
      <w:r>
        <w:t>2. Problem and Opportunity</w:t>
      </w:r>
    </w:p>
    <w:p>
      <w:r>
        <w:t>Students manage assignments, quizzes, labs, projects, presentations, midterms, finals and study sessions across disconnected tools. Deadline clustering, poor effort estimation and delayed action can create excessive academic workload. Generic task apps record deadlines but rarely explain workload feasibility or recommend recovery actions.</w:t>
      </w:r>
    </w:p>
    <w:p>
      <w:pPr>
        <w:pStyle w:val="ListBullet"/>
      </w:pPr>
      <w:r>
        <w:t>One academic workspace reduces fragmentation.</w:t>
      </w:r>
    </w:p>
    <w:p>
      <w:pPr>
        <w:pStyle w:val="ListBullet"/>
      </w:pPr>
      <w:r>
        <w:t>Explainable workload-risk analysis creates differentiation.</w:t>
      </w:r>
    </w:p>
    <w:p>
      <w:pPr>
        <w:pStyle w:val="ListBullet"/>
      </w:pPr>
      <w:r>
        <w:t>Repeated semester needs support recurring engagement.</w:t>
      </w:r>
    </w:p>
    <w:p>
      <w:pPr>
        <w:pStyle w:val="ListBullet"/>
      </w:pPr>
      <w:r>
        <w:t>A Free plan can earn trust before subscription conversion.</w:t>
      </w:r>
    </w:p>
    <w:p>
      <w:pPr>
        <w:pStyle w:val="Heading1"/>
      </w:pPr>
      <w:r>
        <w:t>3. Product and Student Value</w:t>
      </w:r>
    </w:p>
    <w:tbl>
      <w:tblPr>
        <w:tblW w:type="auto" w:w="0"/>
        <w:jc w:val="left"/>
        <w:tblLook w:firstColumn="1" w:firstRow="1" w:lastColumn="0" w:lastRow="0" w:noHBand="0" w:noVBand="1" w:val="04A0"/>
        <w:tblLayout w:type="fixed"/>
      </w:tblPr>
      <w:tblGrid>
        <w:gridCol w:w="2900"/>
        <w:gridCol w:w="6400"/>
      </w:tblGrid>
      <w:tr>
        <w:tc>
          <w:tcPr>
            <w:tcW w:type="dxa" w:w="2900"/>
            <w:tcMar>
              <w:top w:w="70" w:type="dxa"/>
              <w:start w:w="100" w:type="dxa"/>
              <w:bottom w:w="70" w:type="dxa"/>
              <w:end w:w="100" w:type="dxa"/>
            </w:tcMar>
            <w:vAlign w:val="center"/>
            <w:shd w:fill="412E72"/>
          </w:tcPr>
          <w:p>
            <w:r>
              <w:rPr>
                <w:b/>
                <w:color w:val="FFFFFF"/>
                <w:sz w:val="18"/>
              </w:rPr>
              <w:t>Capability</w:t>
            </w:r>
          </w:p>
        </w:tc>
        <w:tc>
          <w:tcPr>
            <w:tcW w:type="dxa" w:w="6400"/>
            <w:tcMar>
              <w:top w:w="70" w:type="dxa"/>
              <w:start w:w="100" w:type="dxa"/>
              <w:bottom w:w="70" w:type="dxa"/>
              <w:end w:w="100" w:type="dxa"/>
            </w:tcMar>
            <w:vAlign w:val="center"/>
            <w:shd w:fill="412E72"/>
          </w:tcPr>
          <w:p>
            <w:r>
              <w:rPr>
                <w:b/>
                <w:color w:val="FFFFFF"/>
                <w:sz w:val="18"/>
              </w:rPr>
              <w:t>Student value</w:t>
            </w:r>
          </w:p>
        </w:tc>
      </w:tr>
      <w:tr>
        <w:tc>
          <w:tcPr>
            <w:tcW w:type="dxa" w:w="2900"/>
            <w:tcMar>
              <w:top w:w="70" w:type="dxa"/>
              <w:start w:w="100" w:type="dxa"/>
              <w:bottom w:w="70" w:type="dxa"/>
              <w:end w:w="100" w:type="dxa"/>
            </w:tcMar>
            <w:vAlign w:val="center"/>
          </w:tcPr>
          <w:p>
            <w:pPr>
              <w:spacing w:after="0" w:line="240" w:lineRule="auto"/>
            </w:pPr>
            <w:r>
              <w:rPr>
                <w:sz w:val="18"/>
              </w:rPr>
              <w:t>Tasks &amp; deadlines</w:t>
            </w:r>
          </w:p>
        </w:tc>
        <w:tc>
          <w:tcPr>
            <w:tcW w:type="dxa" w:w="6400"/>
            <w:tcMar>
              <w:top w:w="70" w:type="dxa"/>
              <w:start w:w="100" w:type="dxa"/>
              <w:bottom w:w="70" w:type="dxa"/>
              <w:end w:w="100" w:type="dxa"/>
            </w:tcMar>
            <w:vAlign w:val="center"/>
          </w:tcPr>
          <w:p>
            <w:pPr>
              <w:spacing w:after="0" w:line="240" w:lineRule="auto"/>
            </w:pPr>
            <w:r>
              <w:rPr>
                <w:sz w:val="18"/>
              </w:rPr>
              <w:t>Capture and organize academic responsibilities</w:t>
            </w:r>
          </w:p>
        </w:tc>
      </w:tr>
      <w:tr>
        <w:tc>
          <w:tcPr>
            <w:tcW w:type="dxa" w:w="2900"/>
            <w:tcMar>
              <w:top w:w="70" w:type="dxa"/>
              <w:start w:w="100" w:type="dxa"/>
              <w:bottom w:w="70" w:type="dxa"/>
              <w:end w:w="100" w:type="dxa"/>
            </w:tcMar>
            <w:vAlign w:val="center"/>
          </w:tcPr>
          <w:p>
            <w:pPr>
              <w:spacing w:after="0" w:line="240" w:lineRule="auto"/>
            </w:pPr>
            <w:r>
              <w:rPr>
                <w:sz w:val="18"/>
              </w:rPr>
              <w:t>Planner &amp; focus</w:t>
            </w:r>
          </w:p>
        </w:tc>
        <w:tc>
          <w:tcPr>
            <w:tcW w:type="dxa" w:w="6400"/>
            <w:tcMar>
              <w:top w:w="70" w:type="dxa"/>
              <w:start w:w="100" w:type="dxa"/>
              <w:bottom w:w="70" w:type="dxa"/>
              <w:end w:w="100" w:type="dxa"/>
            </w:tcMar>
            <w:vAlign w:val="center"/>
          </w:tcPr>
          <w:p>
            <w:pPr>
              <w:spacing w:after="0" w:line="240" w:lineRule="auto"/>
            </w:pPr>
            <w:r>
              <w:rPr>
                <w:sz w:val="18"/>
              </w:rPr>
              <w:t>Turn commitments into scheduled study actions</w:t>
            </w:r>
          </w:p>
        </w:tc>
      </w:tr>
      <w:tr>
        <w:tc>
          <w:tcPr>
            <w:tcW w:type="dxa" w:w="2900"/>
            <w:tcMar>
              <w:top w:w="70" w:type="dxa"/>
              <w:start w:w="100" w:type="dxa"/>
              <w:bottom w:w="70" w:type="dxa"/>
              <w:end w:w="100" w:type="dxa"/>
            </w:tcMar>
            <w:vAlign w:val="center"/>
          </w:tcPr>
          <w:p>
            <w:pPr>
              <w:spacing w:after="0" w:line="240" w:lineRule="auto"/>
            </w:pPr>
            <w:r>
              <w:rPr>
                <w:sz w:val="18"/>
              </w:rPr>
              <w:t>Workload intelligence</w:t>
            </w:r>
          </w:p>
        </w:tc>
        <w:tc>
          <w:tcPr>
            <w:tcW w:type="dxa" w:w="6400"/>
            <w:tcMar>
              <w:top w:w="70" w:type="dxa"/>
              <w:start w:w="100" w:type="dxa"/>
              <w:bottom w:w="70" w:type="dxa"/>
              <w:end w:w="100" w:type="dxa"/>
            </w:tcMar>
            <w:vAlign w:val="center"/>
          </w:tcPr>
          <w:p>
            <w:pPr>
              <w:spacing w:after="0" w:line="240" w:lineRule="auto"/>
            </w:pPr>
            <w:r>
              <w:rPr>
                <w:sz w:val="18"/>
              </w:rPr>
              <w:t>Identify excessive workload patterns early</w:t>
            </w:r>
          </w:p>
        </w:tc>
      </w:tr>
      <w:tr>
        <w:tc>
          <w:tcPr>
            <w:tcW w:type="dxa" w:w="2900"/>
            <w:tcMar>
              <w:top w:w="70" w:type="dxa"/>
              <w:start w:w="100" w:type="dxa"/>
              <w:bottom w:w="70" w:type="dxa"/>
              <w:end w:w="100" w:type="dxa"/>
            </w:tcMar>
            <w:vAlign w:val="center"/>
          </w:tcPr>
          <w:p>
            <w:pPr>
              <w:spacing w:after="0" w:line="240" w:lineRule="auto"/>
            </w:pPr>
            <w:r>
              <w:rPr>
                <w:sz w:val="18"/>
              </w:rPr>
              <w:t>Personalized guidance</w:t>
            </w:r>
          </w:p>
        </w:tc>
        <w:tc>
          <w:tcPr>
            <w:tcW w:type="dxa" w:w="6400"/>
            <w:tcMar>
              <w:top w:w="70" w:type="dxa"/>
              <w:start w:w="100" w:type="dxa"/>
              <w:bottom w:w="70" w:type="dxa"/>
              <w:end w:w="100" w:type="dxa"/>
            </w:tcMar>
            <w:vAlign w:val="center"/>
          </w:tcPr>
          <w:p>
            <w:pPr>
              <w:spacing w:after="0" w:line="240" w:lineRule="auto"/>
            </w:pPr>
            <w:r>
              <w:rPr>
                <w:sz w:val="18"/>
              </w:rPr>
              <w:t>Prioritize, split, reschedule or take a break</w:t>
            </w:r>
          </w:p>
        </w:tc>
      </w:tr>
      <w:tr>
        <w:tc>
          <w:tcPr>
            <w:tcW w:type="dxa" w:w="2900"/>
            <w:tcMar>
              <w:top w:w="70" w:type="dxa"/>
              <w:start w:w="100" w:type="dxa"/>
              <w:bottom w:w="70" w:type="dxa"/>
              <w:end w:w="100" w:type="dxa"/>
            </w:tcMar>
            <w:vAlign w:val="center"/>
          </w:tcPr>
          <w:p>
            <w:pPr>
              <w:spacing w:after="0" w:line="240" w:lineRule="auto"/>
            </w:pPr>
            <w:r>
              <w:rPr>
                <w:sz w:val="18"/>
              </w:rPr>
              <w:t>Dashboard</w:t>
            </w:r>
          </w:p>
        </w:tc>
        <w:tc>
          <w:tcPr>
            <w:tcW w:type="dxa" w:w="6400"/>
            <w:tcMar>
              <w:top w:w="70" w:type="dxa"/>
              <w:start w:w="100" w:type="dxa"/>
              <w:bottom w:w="70" w:type="dxa"/>
              <w:end w:w="100" w:type="dxa"/>
            </w:tcMar>
            <w:vAlign w:val="center"/>
          </w:tcPr>
          <w:p>
            <w:pPr>
              <w:spacing w:after="0" w:line="240" w:lineRule="auto"/>
            </w:pPr>
            <w:r>
              <w:rPr>
                <w:sz w:val="18"/>
              </w:rPr>
              <w:t>Measure progress, study time and workload trend</w:t>
            </w:r>
          </w:p>
        </w:tc>
      </w:tr>
    </w:tbl>
    <w:p>
      <w:pPr>
        <w:spacing w:after="0"/>
      </w:pPr>
    </w:p>
    <w:tbl>
      <w:tblPr>
        <w:tblW w:type="auto" w:w="0"/>
        <w:jc w:val="left"/>
        <w:tblLook w:firstColumn="1" w:firstRow="1" w:lastColumn="0" w:lastRow="0" w:noHBand="0" w:noVBand="1" w:val="04A0"/>
        <w:tblLayout w:type="fixed"/>
      </w:tblPr>
      <w:tblGrid>
        <w:gridCol w:w="9300"/>
      </w:tblGrid>
      <w:tr>
        <w:tc>
          <w:tcPr>
            <w:tcW w:type="dxa" w:w="9300"/>
            <w:tcMar>
              <w:top w:w="70" w:type="dxa"/>
              <w:start w:w="100" w:type="dxa"/>
              <w:bottom w:w="70" w:type="dxa"/>
              <w:end w:w="100" w:type="dxa"/>
            </w:tcMar>
            <w:vAlign w:val="center"/>
            <w:shd w:fill="F1EEFF"/>
          </w:tcPr>
          <w:p>
            <w:pPr>
              <w:spacing w:after="0"/>
            </w:pPr>
            <w:r>
              <w:rPr>
                <w:b/>
                <w:color w:val="412E72"/>
              </w:rPr>
              <w:t xml:space="preserve">Safety boundary: </w:t>
            </w:r>
            <w:r>
              <w:t>Studora detects workload-related stress risk; it does not diagnose stress, anxiety, depression or any medical condition.</w:t>
            </w:r>
          </w:p>
        </w:tc>
      </w:tr>
    </w:tbl>
    <w:p>
      <w:pPr>
        <w:spacing w:after="0"/>
      </w:pPr>
    </w:p>
    <w:p>
      <w:pPr>
        <w:pStyle w:val="Heading1"/>
      </w:pPr>
      <w:r>
        <w:t>4. Target Students</w:t>
      </w:r>
    </w:p>
    <w:tbl>
      <w:tblPr>
        <w:tblW w:type="auto" w:w="0"/>
        <w:jc w:val="left"/>
        <w:tblLook w:firstColumn="1" w:firstRow="1" w:lastColumn="0" w:lastRow="0" w:noHBand="0" w:noVBand="1" w:val="04A0"/>
        <w:tblLayout w:type="fixed"/>
      </w:tblPr>
      <w:tblGrid>
        <w:gridCol w:w="3300"/>
        <w:gridCol w:w="6000"/>
      </w:tblGrid>
      <w:tr>
        <w:tc>
          <w:tcPr>
            <w:tcW w:type="dxa" w:w="3300"/>
            <w:tcMar>
              <w:top w:w="70" w:type="dxa"/>
              <w:start w:w="100" w:type="dxa"/>
              <w:bottom w:w="70" w:type="dxa"/>
              <w:end w:w="100" w:type="dxa"/>
            </w:tcMar>
            <w:vAlign w:val="center"/>
            <w:shd w:fill="412E72"/>
          </w:tcPr>
          <w:p>
            <w:r>
              <w:rPr>
                <w:b/>
                <w:color w:val="FFFFFF"/>
                <w:sz w:val="18"/>
              </w:rPr>
              <w:t>Segment</w:t>
            </w:r>
          </w:p>
        </w:tc>
        <w:tc>
          <w:tcPr>
            <w:tcW w:type="dxa" w:w="6000"/>
            <w:tcMar>
              <w:top w:w="70" w:type="dxa"/>
              <w:start w:w="100" w:type="dxa"/>
              <w:bottom w:w="70" w:type="dxa"/>
              <w:end w:w="100" w:type="dxa"/>
            </w:tcMar>
            <w:vAlign w:val="center"/>
            <w:shd w:fill="412E72"/>
          </w:tcPr>
          <w:p>
            <w:r>
              <w:rPr>
                <w:b/>
                <w:color w:val="FFFFFF"/>
                <w:sz w:val="18"/>
              </w:rPr>
              <w:t>Need</w:t>
            </w:r>
          </w:p>
        </w:tc>
      </w:tr>
      <w:tr>
        <w:tc>
          <w:tcPr>
            <w:tcW w:type="dxa" w:w="3300"/>
            <w:tcMar>
              <w:top w:w="70" w:type="dxa"/>
              <w:start w:w="100" w:type="dxa"/>
              <w:bottom w:w="70" w:type="dxa"/>
              <w:end w:w="100" w:type="dxa"/>
            </w:tcMar>
            <w:vAlign w:val="center"/>
          </w:tcPr>
          <w:p>
            <w:pPr>
              <w:spacing w:after="0" w:line="240" w:lineRule="auto"/>
            </w:pPr>
            <w:r>
              <w:rPr>
                <w:sz w:val="18"/>
              </w:rPr>
              <w:t>Busy undergraduate</w:t>
            </w:r>
          </w:p>
        </w:tc>
        <w:tc>
          <w:tcPr>
            <w:tcW w:type="dxa" w:w="6000"/>
            <w:tcMar>
              <w:top w:w="70" w:type="dxa"/>
              <w:start w:w="100" w:type="dxa"/>
              <w:bottom w:w="70" w:type="dxa"/>
              <w:end w:w="100" w:type="dxa"/>
            </w:tcMar>
            <w:vAlign w:val="center"/>
          </w:tcPr>
          <w:p>
            <w:pPr>
              <w:spacing w:after="0" w:line="240" w:lineRule="auto"/>
            </w:pPr>
            <w:r>
              <w:rPr>
                <w:sz w:val="18"/>
              </w:rPr>
              <w:t>Clear daily priorities across several courses</w:t>
            </w:r>
          </w:p>
        </w:tc>
      </w:tr>
      <w:tr>
        <w:tc>
          <w:tcPr>
            <w:tcW w:type="dxa" w:w="3300"/>
            <w:tcMar>
              <w:top w:w="70" w:type="dxa"/>
              <w:start w:w="100" w:type="dxa"/>
              <w:bottom w:w="70" w:type="dxa"/>
              <w:end w:w="100" w:type="dxa"/>
            </w:tcMar>
            <w:vAlign w:val="center"/>
          </w:tcPr>
          <w:p>
            <w:pPr>
              <w:spacing w:after="0" w:line="240" w:lineRule="auto"/>
            </w:pPr>
            <w:r>
              <w:rPr>
                <w:sz w:val="18"/>
              </w:rPr>
              <w:t>First-year student</w:t>
            </w:r>
          </w:p>
        </w:tc>
        <w:tc>
          <w:tcPr>
            <w:tcW w:type="dxa" w:w="6000"/>
            <w:tcMar>
              <w:top w:w="70" w:type="dxa"/>
              <w:start w:w="100" w:type="dxa"/>
              <w:bottom w:w="70" w:type="dxa"/>
              <w:end w:w="100" w:type="dxa"/>
            </w:tcMar>
            <w:vAlign w:val="center"/>
          </w:tcPr>
          <w:p>
            <w:pPr>
              <w:spacing w:after="0" w:line="240" w:lineRule="auto"/>
            </w:pPr>
            <w:r>
              <w:rPr>
                <w:sz w:val="18"/>
              </w:rPr>
              <w:t>Guided planning habits</w:t>
            </w:r>
          </w:p>
        </w:tc>
      </w:tr>
      <w:tr>
        <w:tc>
          <w:tcPr>
            <w:tcW w:type="dxa" w:w="3300"/>
            <w:tcMar>
              <w:top w:w="70" w:type="dxa"/>
              <w:start w:w="100" w:type="dxa"/>
              <w:bottom w:w="70" w:type="dxa"/>
              <w:end w:w="100" w:type="dxa"/>
            </w:tcMar>
            <w:vAlign w:val="center"/>
          </w:tcPr>
          <w:p>
            <w:pPr>
              <w:spacing w:after="0" w:line="240" w:lineRule="auto"/>
            </w:pPr>
            <w:r>
              <w:rPr>
                <w:sz w:val="18"/>
              </w:rPr>
              <w:t>Final-year student</w:t>
            </w:r>
          </w:p>
        </w:tc>
        <w:tc>
          <w:tcPr>
            <w:tcW w:type="dxa" w:w="6000"/>
            <w:tcMar>
              <w:top w:w="70" w:type="dxa"/>
              <w:start w:w="100" w:type="dxa"/>
              <w:bottom w:w="70" w:type="dxa"/>
              <w:end w:w="100" w:type="dxa"/>
            </w:tcMar>
            <w:vAlign w:val="center"/>
          </w:tcPr>
          <w:p>
            <w:pPr>
              <w:spacing w:after="0" w:line="240" w:lineRule="auto"/>
            </w:pPr>
            <w:r>
              <w:rPr>
                <w:sz w:val="18"/>
              </w:rPr>
              <w:t>Coordination of projects, presentations and exams</w:t>
            </w:r>
          </w:p>
        </w:tc>
      </w:tr>
      <w:tr>
        <w:tc>
          <w:tcPr>
            <w:tcW w:type="dxa" w:w="3300"/>
            <w:tcMar>
              <w:top w:w="70" w:type="dxa"/>
              <w:start w:w="100" w:type="dxa"/>
              <w:bottom w:w="70" w:type="dxa"/>
              <w:end w:w="100" w:type="dxa"/>
            </w:tcMar>
            <w:vAlign w:val="center"/>
          </w:tcPr>
          <w:p>
            <w:pPr>
              <w:spacing w:after="0" w:line="240" w:lineRule="auto"/>
            </w:pPr>
            <w:r>
              <w:rPr>
                <w:sz w:val="18"/>
              </w:rPr>
              <w:t>Working student</w:t>
            </w:r>
          </w:p>
        </w:tc>
        <w:tc>
          <w:tcPr>
            <w:tcW w:type="dxa" w:w="6000"/>
            <w:tcMar>
              <w:top w:w="70" w:type="dxa"/>
              <w:start w:w="100" w:type="dxa"/>
              <w:bottom w:w="70" w:type="dxa"/>
              <w:end w:w="100" w:type="dxa"/>
            </w:tcMar>
            <w:vAlign w:val="center"/>
          </w:tcPr>
          <w:p>
            <w:pPr>
              <w:spacing w:after="0" w:line="240" w:lineRule="auto"/>
            </w:pPr>
            <w:r>
              <w:rPr>
                <w:sz w:val="18"/>
              </w:rPr>
              <w:t>Feasible planning within limited time</w:t>
            </w:r>
          </w:p>
        </w:tc>
      </w:tr>
      <w:tr>
        <w:tc>
          <w:tcPr>
            <w:tcW w:type="dxa" w:w="3300"/>
            <w:tcMar>
              <w:top w:w="70" w:type="dxa"/>
              <w:start w:w="100" w:type="dxa"/>
              <w:bottom w:w="70" w:type="dxa"/>
              <w:end w:w="100" w:type="dxa"/>
            </w:tcMar>
            <w:vAlign w:val="center"/>
          </w:tcPr>
          <w:p>
            <w:pPr>
              <w:spacing w:after="0" w:line="240" w:lineRule="auto"/>
            </w:pPr>
            <w:r>
              <w:rPr>
                <w:sz w:val="18"/>
              </w:rPr>
              <w:t>Productivity-focused student</w:t>
            </w:r>
          </w:p>
        </w:tc>
        <w:tc>
          <w:tcPr>
            <w:tcW w:type="dxa" w:w="6000"/>
            <w:tcMar>
              <w:top w:w="70" w:type="dxa"/>
              <w:start w:w="100" w:type="dxa"/>
              <w:bottom w:w="70" w:type="dxa"/>
              <w:end w:w="100" w:type="dxa"/>
            </w:tcMar>
            <w:vAlign w:val="center"/>
          </w:tcPr>
          <w:p>
            <w:pPr>
              <w:spacing w:after="0" w:line="240" w:lineRule="auto"/>
            </w:pPr>
            <w:r>
              <w:rPr>
                <w:sz w:val="18"/>
              </w:rPr>
              <w:t>Advanced analytics and personalization</w:t>
            </w:r>
          </w:p>
        </w:tc>
      </w:tr>
    </w:tbl>
    <w:p>
      <w:pPr>
        <w:spacing w:after="0"/>
      </w:pPr>
    </w:p>
    <w:p>
      <w:pPr>
        <w:pStyle w:val="Heading1"/>
      </w:pPr>
      <w:r>
        <w:t>5. Value Proposition</w:t>
      </w:r>
    </w:p>
    <w:p>
      <w:r>
        <w:t>For university students facing fragmented work and overlapping deadlines, Studora is an AI-powered academic assistant that converts tasks and study behaviour into a realistic, prioritized plan. Unlike generic task managers, it explains workload risk and recommends specific corrective actions.</w:t>
      </w:r>
    </w:p>
    <w:p>
      <w:pPr>
        <w:pStyle w:val="ListBullet"/>
      </w:pPr>
      <w:r>
        <w:t>Academic-specific task types and semester context.</w:t>
      </w:r>
    </w:p>
    <w:p>
      <w:pPr>
        <w:pStyle w:val="ListBullet"/>
      </w:pPr>
      <w:r>
        <w:t>Workload feasibility, not deadline display alone.</w:t>
      </w:r>
    </w:p>
    <w:p>
      <w:pPr>
        <w:pStyle w:val="ListBullet"/>
      </w:pPr>
      <w:r>
        <w:t>Priority, task-splitting, rescheduling and break guidance.</w:t>
      </w:r>
    </w:p>
    <w:p>
      <w:pPr>
        <w:pStyle w:val="ListBullet"/>
      </w:pPr>
      <w:r>
        <w:t>Colourful, calming and student-friendly experience.</w:t>
      </w:r>
    </w:p>
    <w:p>
      <w:pPr>
        <w:pStyle w:val="ListBullet"/>
      </w:pPr>
      <w:r>
        <w:t>Privacy, transparency and non-diagnostic language.</w:t>
      </w:r>
    </w:p>
    <w:p>
      <w:pPr>
        <w:pStyle w:val="Heading1"/>
      </w:pPr>
      <w:r>
        <w:t>6. Subscription Business Model</w:t>
      </w:r>
    </w:p>
    <w:tbl>
      <w:tblPr>
        <w:tblW w:type="auto" w:w="0"/>
        <w:jc w:val="left"/>
        <w:tblLook w:firstColumn="1" w:firstRow="1" w:lastColumn="0" w:lastRow="0" w:noHBand="0" w:noVBand="1" w:val="04A0"/>
        <w:tblLayout w:type="fixed"/>
      </w:tblPr>
      <w:tblGrid>
        <w:gridCol w:w="1800"/>
        <w:gridCol w:w="5200"/>
        <w:gridCol w:w="2300"/>
      </w:tblGrid>
      <w:tr>
        <w:tc>
          <w:tcPr>
            <w:tcW w:type="dxa" w:w="1800"/>
            <w:tcMar>
              <w:top w:w="70" w:type="dxa"/>
              <w:start w:w="100" w:type="dxa"/>
              <w:bottom w:w="70" w:type="dxa"/>
              <w:end w:w="100" w:type="dxa"/>
            </w:tcMar>
            <w:vAlign w:val="center"/>
            <w:shd w:fill="412E72"/>
          </w:tcPr>
          <w:p>
            <w:r>
              <w:rPr>
                <w:b/>
                <w:color w:val="FFFFFF"/>
                <w:sz w:val="18"/>
              </w:rPr>
              <w:t>Plan</w:t>
            </w:r>
          </w:p>
        </w:tc>
        <w:tc>
          <w:tcPr>
            <w:tcW w:type="dxa" w:w="5200"/>
            <w:tcMar>
              <w:top w:w="70" w:type="dxa"/>
              <w:start w:w="100" w:type="dxa"/>
              <w:bottom w:w="70" w:type="dxa"/>
              <w:end w:w="100" w:type="dxa"/>
            </w:tcMar>
            <w:vAlign w:val="center"/>
            <w:shd w:fill="412E72"/>
          </w:tcPr>
          <w:p>
            <w:r>
              <w:rPr>
                <w:b/>
                <w:color w:val="FFFFFF"/>
                <w:sz w:val="18"/>
              </w:rPr>
              <w:t>Core value</w:t>
            </w:r>
          </w:p>
        </w:tc>
        <w:tc>
          <w:tcPr>
            <w:tcW w:type="dxa" w:w="2300"/>
            <w:tcMar>
              <w:top w:w="70" w:type="dxa"/>
              <w:start w:w="100" w:type="dxa"/>
              <w:bottom w:w="70" w:type="dxa"/>
              <w:end w:w="100" w:type="dxa"/>
            </w:tcMar>
            <w:vAlign w:val="center"/>
            <w:shd w:fill="412E72"/>
          </w:tcPr>
          <w:p>
            <w:r>
              <w:rPr>
                <w:b/>
                <w:color w:val="FFFFFF"/>
                <w:sz w:val="18"/>
              </w:rPr>
              <w:t>Revenue</w:t>
            </w:r>
          </w:p>
        </w:tc>
      </w:tr>
      <w:tr>
        <w:tc>
          <w:tcPr>
            <w:tcW w:type="dxa" w:w="1800"/>
            <w:tcMar>
              <w:top w:w="70" w:type="dxa"/>
              <w:start w:w="100" w:type="dxa"/>
              <w:bottom w:w="70" w:type="dxa"/>
              <w:end w:w="100" w:type="dxa"/>
            </w:tcMar>
            <w:vAlign w:val="center"/>
          </w:tcPr>
          <w:p>
            <w:pPr>
              <w:spacing w:after="0" w:line="240" w:lineRule="auto"/>
            </w:pPr>
            <w:r>
              <w:rPr>
                <w:sz w:val="18"/>
              </w:rPr>
              <w:t>Free</w:t>
            </w:r>
          </w:p>
        </w:tc>
        <w:tc>
          <w:tcPr>
            <w:tcW w:type="dxa" w:w="5200"/>
            <w:tcMar>
              <w:top w:w="70" w:type="dxa"/>
              <w:start w:w="100" w:type="dxa"/>
              <w:bottom w:w="70" w:type="dxa"/>
              <w:end w:w="100" w:type="dxa"/>
            </w:tcMar>
            <w:vAlign w:val="center"/>
          </w:tcPr>
          <w:p>
            <w:pPr>
              <w:spacing w:after="0" w:line="240" w:lineRule="auto"/>
            </w:pPr>
            <w:r>
              <w:rPr>
                <w:sz w:val="18"/>
              </w:rPr>
              <w:t>Tasks, calendar, planner, timer, basic reminders and limited workload insight</w:t>
            </w:r>
          </w:p>
        </w:tc>
        <w:tc>
          <w:tcPr>
            <w:tcW w:type="dxa" w:w="2300"/>
            <w:tcMar>
              <w:top w:w="70" w:type="dxa"/>
              <w:start w:w="100" w:type="dxa"/>
              <w:bottom w:w="70" w:type="dxa"/>
              <w:end w:w="100" w:type="dxa"/>
            </w:tcMar>
            <w:vAlign w:val="center"/>
          </w:tcPr>
          <w:p>
            <w:pPr>
              <w:spacing w:after="0" w:line="240" w:lineRule="auto"/>
            </w:pPr>
            <w:r>
              <w:rPr>
                <w:sz w:val="18"/>
              </w:rPr>
              <w:t>No charge</w:t>
            </w:r>
          </w:p>
        </w:tc>
      </w:tr>
      <w:tr>
        <w:tc>
          <w:tcPr>
            <w:tcW w:type="dxa" w:w="1800"/>
            <w:tcMar>
              <w:top w:w="70" w:type="dxa"/>
              <w:start w:w="100" w:type="dxa"/>
              <w:bottom w:w="70" w:type="dxa"/>
              <w:end w:w="100" w:type="dxa"/>
            </w:tcMar>
            <w:vAlign w:val="center"/>
          </w:tcPr>
          <w:p>
            <w:pPr>
              <w:spacing w:after="0" w:line="240" w:lineRule="auto"/>
            </w:pPr>
            <w:r>
              <w:rPr>
                <w:sz w:val="18"/>
              </w:rPr>
              <w:t>Pro</w:t>
            </w:r>
          </w:p>
        </w:tc>
        <w:tc>
          <w:tcPr>
            <w:tcW w:type="dxa" w:w="5200"/>
            <w:tcMar>
              <w:top w:w="70" w:type="dxa"/>
              <w:start w:w="100" w:type="dxa"/>
              <w:bottom w:w="70" w:type="dxa"/>
              <w:end w:w="100" w:type="dxa"/>
            </w:tcMar>
            <w:vAlign w:val="center"/>
          </w:tcPr>
          <w:p>
            <w:pPr>
              <w:spacing w:after="0" w:line="240" w:lineRule="auto"/>
            </w:pPr>
            <w:r>
              <w:rPr>
                <w:sz w:val="18"/>
              </w:rPr>
              <w:t>Higher limits, full factors/history, smart planning and advanced analytics</w:t>
            </w:r>
          </w:p>
        </w:tc>
        <w:tc>
          <w:tcPr>
            <w:tcW w:type="dxa" w:w="2300"/>
            <w:tcMar>
              <w:top w:w="70" w:type="dxa"/>
              <w:start w:w="100" w:type="dxa"/>
              <w:bottom w:w="70" w:type="dxa"/>
              <w:end w:w="100" w:type="dxa"/>
            </w:tcMar>
            <w:vAlign w:val="center"/>
          </w:tcPr>
          <w:p>
            <w:pPr>
              <w:spacing w:after="0" w:line="240" w:lineRule="auto"/>
            </w:pPr>
            <w:r>
              <w:rPr>
                <w:sz w:val="18"/>
              </w:rPr>
              <w:t>Monthly/annual</w:t>
            </w:r>
          </w:p>
        </w:tc>
      </w:tr>
      <w:tr>
        <w:tc>
          <w:tcPr>
            <w:tcW w:type="dxa" w:w="1800"/>
            <w:tcMar>
              <w:top w:w="70" w:type="dxa"/>
              <w:start w:w="100" w:type="dxa"/>
              <w:bottom w:w="70" w:type="dxa"/>
              <w:end w:w="100" w:type="dxa"/>
            </w:tcMar>
            <w:vAlign w:val="center"/>
          </w:tcPr>
          <w:p>
            <w:pPr>
              <w:spacing w:after="0" w:line="240" w:lineRule="auto"/>
            </w:pPr>
            <w:r>
              <w:rPr>
                <w:sz w:val="18"/>
              </w:rPr>
              <w:t>Premium</w:t>
            </w:r>
          </w:p>
        </w:tc>
        <w:tc>
          <w:tcPr>
            <w:tcW w:type="dxa" w:w="5200"/>
            <w:tcMar>
              <w:top w:w="70" w:type="dxa"/>
              <w:start w:w="100" w:type="dxa"/>
              <w:bottom w:w="70" w:type="dxa"/>
              <w:end w:w="100" w:type="dxa"/>
            </w:tcMar>
            <w:vAlign w:val="center"/>
          </w:tcPr>
          <w:p>
            <w:pPr>
              <w:spacing w:after="0" w:line="240" w:lineRule="auto"/>
            </w:pPr>
            <w:r>
              <w:rPr>
                <w:sz w:val="18"/>
              </w:rPr>
              <w:t>Highest fair-use AI, automation, deep insights and priority support</w:t>
            </w:r>
          </w:p>
        </w:tc>
        <w:tc>
          <w:tcPr>
            <w:tcW w:type="dxa" w:w="2300"/>
            <w:tcMar>
              <w:top w:w="70" w:type="dxa"/>
              <w:start w:w="100" w:type="dxa"/>
              <w:bottom w:w="70" w:type="dxa"/>
              <w:end w:w="100" w:type="dxa"/>
            </w:tcMar>
            <w:vAlign w:val="center"/>
          </w:tcPr>
          <w:p>
            <w:pPr>
              <w:spacing w:after="0" w:line="240" w:lineRule="auto"/>
            </w:pPr>
            <w:r>
              <w:rPr>
                <w:sz w:val="18"/>
              </w:rPr>
              <w:t>Monthly/annual</w:t>
            </w:r>
          </w:p>
        </w:tc>
      </w:tr>
    </w:tbl>
    <w:p>
      <w:pPr>
        <w:spacing w:after="0"/>
      </w:pPr>
    </w:p>
    <w:p>
      <w:r>
        <w:t>The MVP will demonstrate plan comparison, monthly/yearly selection, sandbox checkout and entitlement changes without collecting payment information or charging money. Live app-store payments are post-MVP.</w:t>
      </w:r>
    </w:p>
    <w:p>
      <w:pPr>
        <w:pStyle w:val="Heading1"/>
      </w:pPr>
      <w:r>
        <w:t>7. Business Intelligence</w:t>
      </w:r>
    </w:p>
    <w:tbl>
      <w:tblPr>
        <w:tblW w:type="auto" w:w="0"/>
        <w:jc w:val="left"/>
        <w:tblLook w:firstColumn="1" w:firstRow="1" w:lastColumn="0" w:lastRow="0" w:noHBand="0" w:noVBand="1" w:val="04A0"/>
        <w:tblLayout w:type="fixed"/>
      </w:tblPr>
      <w:tblGrid>
        <w:gridCol w:w="2500"/>
        <w:gridCol w:w="6800"/>
      </w:tblGrid>
      <w:tr>
        <w:tc>
          <w:tcPr>
            <w:tcW w:type="dxa" w:w="2500"/>
            <w:tcMar>
              <w:top w:w="70" w:type="dxa"/>
              <w:start w:w="100" w:type="dxa"/>
              <w:bottom w:w="70" w:type="dxa"/>
              <w:end w:w="100" w:type="dxa"/>
            </w:tcMar>
            <w:vAlign w:val="center"/>
            <w:shd w:fill="412E72"/>
          </w:tcPr>
          <w:p>
            <w:r>
              <w:rPr>
                <w:b/>
                <w:color w:val="FFFFFF"/>
                <w:sz w:val="18"/>
              </w:rPr>
              <w:t>Perspective</w:t>
            </w:r>
          </w:p>
        </w:tc>
        <w:tc>
          <w:tcPr>
            <w:tcW w:type="dxa" w:w="6800"/>
            <w:tcMar>
              <w:top w:w="70" w:type="dxa"/>
              <w:start w:w="100" w:type="dxa"/>
              <w:bottom w:w="70" w:type="dxa"/>
              <w:end w:w="100" w:type="dxa"/>
            </w:tcMar>
            <w:vAlign w:val="center"/>
            <w:shd w:fill="412E72"/>
          </w:tcPr>
          <w:p>
            <w:r>
              <w:rPr>
                <w:b/>
                <w:color w:val="FFFFFF"/>
                <w:sz w:val="18"/>
              </w:rPr>
              <w:t>Key measures</w:t>
            </w:r>
          </w:p>
        </w:tc>
      </w:tr>
      <w:tr>
        <w:tc>
          <w:tcPr>
            <w:tcW w:type="dxa" w:w="2500"/>
            <w:tcMar>
              <w:top w:w="70" w:type="dxa"/>
              <w:start w:w="100" w:type="dxa"/>
              <w:bottom w:w="70" w:type="dxa"/>
              <w:end w:w="100" w:type="dxa"/>
            </w:tcMar>
            <w:vAlign w:val="center"/>
          </w:tcPr>
          <w:p>
            <w:pPr>
              <w:spacing w:after="0" w:line="240" w:lineRule="auto"/>
            </w:pPr>
            <w:r>
              <w:rPr>
                <w:sz w:val="18"/>
              </w:rPr>
              <w:t>Student</w:t>
            </w:r>
          </w:p>
        </w:tc>
        <w:tc>
          <w:tcPr>
            <w:tcW w:type="dxa" w:w="6800"/>
            <w:tcMar>
              <w:top w:w="70" w:type="dxa"/>
              <w:start w:w="100" w:type="dxa"/>
              <w:bottom w:w="70" w:type="dxa"/>
              <w:end w:w="100" w:type="dxa"/>
            </w:tcMar>
            <w:vAlign w:val="center"/>
          </w:tcPr>
          <w:p>
            <w:pPr>
              <w:spacing w:after="0" w:line="240" w:lineRule="auto"/>
            </w:pPr>
            <w:r>
              <w:rPr>
                <w:sz w:val="18"/>
              </w:rPr>
              <w:t>Pending/completed/overdue, on-time rate, study time, workload trend</w:t>
            </w:r>
          </w:p>
        </w:tc>
      </w:tr>
      <w:tr>
        <w:tc>
          <w:tcPr>
            <w:tcW w:type="dxa" w:w="2500"/>
            <w:tcMar>
              <w:top w:w="70" w:type="dxa"/>
              <w:start w:w="100" w:type="dxa"/>
              <w:bottom w:w="70" w:type="dxa"/>
              <w:end w:w="100" w:type="dxa"/>
            </w:tcMar>
            <w:vAlign w:val="center"/>
          </w:tcPr>
          <w:p>
            <w:pPr>
              <w:spacing w:after="0" w:line="240" w:lineRule="auto"/>
            </w:pPr>
            <w:r>
              <w:rPr>
                <w:sz w:val="18"/>
              </w:rPr>
              <w:t>Product</w:t>
            </w:r>
          </w:p>
        </w:tc>
        <w:tc>
          <w:tcPr>
            <w:tcW w:type="dxa" w:w="6800"/>
            <w:tcMar>
              <w:top w:w="70" w:type="dxa"/>
              <w:start w:w="100" w:type="dxa"/>
              <w:bottom w:w="70" w:type="dxa"/>
              <w:end w:w="100" w:type="dxa"/>
            </w:tcMar>
            <w:vAlign w:val="center"/>
          </w:tcPr>
          <w:p>
            <w:pPr>
              <w:spacing w:after="0" w:line="240" w:lineRule="auto"/>
            </w:pPr>
            <w:r>
              <w:rPr>
                <w:sz w:val="18"/>
              </w:rPr>
              <w:t>Activation, weekly meaningful planning users, adoption and retention</w:t>
            </w:r>
          </w:p>
        </w:tc>
      </w:tr>
      <w:tr>
        <w:tc>
          <w:tcPr>
            <w:tcW w:type="dxa" w:w="2500"/>
            <w:tcMar>
              <w:top w:w="70" w:type="dxa"/>
              <w:start w:w="100" w:type="dxa"/>
              <w:bottom w:w="70" w:type="dxa"/>
              <w:end w:w="100" w:type="dxa"/>
            </w:tcMar>
            <w:vAlign w:val="center"/>
          </w:tcPr>
          <w:p>
            <w:pPr>
              <w:spacing w:after="0" w:line="240" w:lineRule="auto"/>
            </w:pPr>
            <w:r>
              <w:rPr>
                <w:sz w:val="18"/>
              </w:rPr>
              <w:t>Subscription</w:t>
            </w:r>
          </w:p>
        </w:tc>
        <w:tc>
          <w:tcPr>
            <w:tcW w:type="dxa" w:w="6800"/>
            <w:tcMar>
              <w:top w:w="70" w:type="dxa"/>
              <w:start w:w="100" w:type="dxa"/>
              <w:bottom w:w="70" w:type="dxa"/>
              <w:end w:w="100" w:type="dxa"/>
            </w:tcMar>
            <w:vAlign w:val="center"/>
          </w:tcPr>
          <w:p>
            <w:pPr>
              <w:spacing w:after="0" w:line="240" w:lineRule="auto"/>
            </w:pPr>
            <w:r>
              <w:rPr>
                <w:sz w:val="18"/>
              </w:rPr>
              <w:t>Paywall views, plan selection, sandbox conversion, future renewal/cancellation</w:t>
            </w:r>
          </w:p>
        </w:tc>
      </w:tr>
      <w:tr>
        <w:tc>
          <w:tcPr>
            <w:tcW w:type="dxa" w:w="2500"/>
            <w:tcMar>
              <w:top w:w="70" w:type="dxa"/>
              <w:start w:w="100" w:type="dxa"/>
              <w:bottom w:w="70" w:type="dxa"/>
              <w:end w:w="100" w:type="dxa"/>
            </w:tcMar>
            <w:vAlign w:val="center"/>
          </w:tcPr>
          <w:p>
            <w:pPr>
              <w:spacing w:after="0" w:line="240" w:lineRule="auto"/>
            </w:pPr>
            <w:r>
              <w:rPr>
                <w:sz w:val="18"/>
              </w:rPr>
              <w:t>Economics</w:t>
            </w:r>
          </w:p>
        </w:tc>
        <w:tc>
          <w:tcPr>
            <w:tcW w:type="dxa" w:w="6800"/>
            <w:tcMar>
              <w:top w:w="70" w:type="dxa"/>
              <w:start w:w="100" w:type="dxa"/>
              <w:bottom w:w="70" w:type="dxa"/>
              <w:end w:w="100" w:type="dxa"/>
            </w:tcMar>
            <w:vAlign w:val="center"/>
          </w:tcPr>
          <w:p>
            <w:pPr>
              <w:spacing w:after="0" w:line="240" w:lineRule="auto"/>
            </w:pPr>
            <w:r>
              <w:rPr>
                <w:sz w:val="18"/>
              </w:rPr>
              <w:t>Cost per active/paid user and margin by plan</w:t>
            </w:r>
          </w:p>
        </w:tc>
      </w:tr>
    </w:tbl>
    <w:p>
      <w:pPr>
        <w:spacing w:after="0"/>
      </w:pPr>
    </w:p>
    <w:p>
      <w:r>
        <w:rPr>
          <w:b/>
        </w:rPr>
        <w:t>North-star metric:</w:t>
      </w:r>
      <w:r>
        <w:t xml:space="preserve"> Weekly Meaningful Planning Users - students who manage academic work and complete at least one planning, study or recommendation action in a week.</w:t>
      </w:r>
    </w:p>
    <w:p>
      <w:pPr>
        <w:pStyle w:val="Heading1"/>
      </w:pPr>
      <w:r>
        <w:t>8. Go-to-Market and Operations</w:t>
      </w:r>
    </w:p>
    <w:p>
      <w:pPr>
        <w:pStyle w:val="ListBullet"/>
      </w:pPr>
      <w:r>
        <w:t>Pilot with a small student community; use ambassadors, referrals and student-focused content.</w:t>
      </w:r>
    </w:p>
    <w:p>
      <w:pPr>
        <w:pStyle w:val="ListBullet"/>
      </w:pPr>
      <w:r>
        <w:t>Provide self-service onboarding, clear support and feedback paths.</w:t>
      </w:r>
    </w:p>
    <w:p>
      <w:pPr>
        <w:pStyle w:val="ListBullet"/>
      </w:pPr>
      <w:r>
        <w:t>Show transparent subscription terms and cancellation rules.</w:t>
      </w:r>
    </w:p>
    <w:p>
      <w:pPr>
        <w:pStyle w:val="ListBullet"/>
      </w:pPr>
      <w:r>
        <w:t>Protect personal data; no advertising or sale of academic/behavioural information.</w:t>
      </w:r>
    </w:p>
    <w:p>
      <w:pPr>
        <w:pStyle w:val="ListBullet"/>
      </w:pPr>
      <w:r>
        <w:t>Monitor false alerts, product quality, cloud/AI cost and student retention.</w:t>
      </w:r>
    </w:p>
    <w:p>
      <w:pPr>
        <w:pStyle w:val="Heading1"/>
      </w:pPr>
      <w:r>
        <w:t>9. Roadmap and Success</w:t>
      </w:r>
    </w:p>
    <w:tbl>
      <w:tblPr>
        <w:tblW w:type="auto" w:w="0"/>
        <w:jc w:val="left"/>
        <w:tblLook w:firstColumn="1" w:firstRow="1" w:lastColumn="0" w:lastRow="0" w:noHBand="0" w:noVBand="1" w:val="04A0"/>
        <w:tblLayout w:type="fixed"/>
      </w:tblPr>
      <w:tblGrid>
        <w:gridCol w:w="2600"/>
        <w:gridCol w:w="6700"/>
      </w:tblGrid>
      <w:tr>
        <w:tc>
          <w:tcPr>
            <w:tcW w:type="dxa" w:w="2600"/>
            <w:tcMar>
              <w:top w:w="70" w:type="dxa"/>
              <w:start w:w="100" w:type="dxa"/>
              <w:bottom w:w="70" w:type="dxa"/>
              <w:end w:w="100" w:type="dxa"/>
            </w:tcMar>
            <w:vAlign w:val="center"/>
            <w:shd w:fill="412E72"/>
          </w:tcPr>
          <w:p>
            <w:r>
              <w:rPr>
                <w:b/>
                <w:color w:val="FFFFFF"/>
                <w:sz w:val="18"/>
              </w:rPr>
              <w:t>Stage</w:t>
            </w:r>
          </w:p>
        </w:tc>
        <w:tc>
          <w:tcPr>
            <w:tcW w:type="dxa" w:w="6700"/>
            <w:tcMar>
              <w:top w:w="70" w:type="dxa"/>
              <w:start w:w="100" w:type="dxa"/>
              <w:bottom w:w="70" w:type="dxa"/>
              <w:end w:w="100" w:type="dxa"/>
            </w:tcMar>
            <w:vAlign w:val="center"/>
            <w:shd w:fill="412E72"/>
          </w:tcPr>
          <w:p>
            <w:r>
              <w:rPr>
                <w:b/>
                <w:color w:val="FFFFFF"/>
                <w:sz w:val="18"/>
              </w:rPr>
              <w:t>Outcome</w:t>
            </w:r>
          </w:p>
        </w:tc>
      </w:tr>
      <w:tr>
        <w:tc>
          <w:tcPr>
            <w:tcW w:type="dxa" w:w="2600"/>
            <w:tcMar>
              <w:top w:w="70" w:type="dxa"/>
              <w:start w:w="100" w:type="dxa"/>
              <w:bottom w:w="70" w:type="dxa"/>
              <w:end w:w="100" w:type="dxa"/>
            </w:tcMar>
            <w:vAlign w:val="center"/>
          </w:tcPr>
          <w:p>
            <w:pPr>
              <w:spacing w:after="0" w:line="240" w:lineRule="auto"/>
            </w:pPr>
            <w:r>
              <w:rPr>
                <w:sz w:val="18"/>
              </w:rPr>
              <w:t>Discovery</w:t>
            </w:r>
          </w:p>
        </w:tc>
        <w:tc>
          <w:tcPr>
            <w:tcW w:type="dxa" w:w="6700"/>
            <w:tcMar>
              <w:top w:w="70" w:type="dxa"/>
              <w:start w:w="100" w:type="dxa"/>
              <w:bottom w:w="70" w:type="dxa"/>
              <w:end w:w="100" w:type="dxa"/>
            </w:tcMar>
            <w:vAlign w:val="center"/>
          </w:tcPr>
          <w:p>
            <w:pPr>
              <w:spacing w:after="0" w:line="240" w:lineRule="auto"/>
            </w:pPr>
            <w:r>
              <w:rPr>
                <w:sz w:val="18"/>
              </w:rPr>
              <w:t>Validate problem and willingness to use</w:t>
            </w:r>
          </w:p>
        </w:tc>
      </w:tr>
      <w:tr>
        <w:tc>
          <w:tcPr>
            <w:tcW w:type="dxa" w:w="2600"/>
            <w:tcMar>
              <w:top w:w="70" w:type="dxa"/>
              <w:start w:w="100" w:type="dxa"/>
              <w:bottom w:w="70" w:type="dxa"/>
              <w:end w:w="100" w:type="dxa"/>
            </w:tcMar>
            <w:vAlign w:val="center"/>
          </w:tcPr>
          <w:p>
            <w:pPr>
              <w:spacing w:after="0" w:line="240" w:lineRule="auto"/>
            </w:pPr>
            <w:r>
              <w:rPr>
                <w:sz w:val="18"/>
              </w:rPr>
              <w:t>Working MVP</w:t>
            </w:r>
          </w:p>
        </w:tc>
        <w:tc>
          <w:tcPr>
            <w:tcW w:type="dxa" w:w="6700"/>
            <w:tcMar>
              <w:top w:w="70" w:type="dxa"/>
              <w:start w:w="100" w:type="dxa"/>
              <w:bottom w:w="70" w:type="dxa"/>
              <w:end w:w="100" w:type="dxa"/>
            </w:tcMar>
            <w:vAlign w:val="center"/>
          </w:tcPr>
          <w:p>
            <w:pPr>
              <w:spacing w:after="0" w:line="240" w:lineRule="auto"/>
            </w:pPr>
            <w:r>
              <w:rPr>
                <w:sz w:val="18"/>
              </w:rPr>
              <w:t>Demonstrate end-to-end student value and sandbox business model</w:t>
            </w:r>
          </w:p>
        </w:tc>
      </w:tr>
      <w:tr>
        <w:tc>
          <w:tcPr>
            <w:tcW w:type="dxa" w:w="2600"/>
            <w:tcMar>
              <w:top w:w="70" w:type="dxa"/>
              <w:start w:w="100" w:type="dxa"/>
              <w:bottom w:w="70" w:type="dxa"/>
              <w:end w:w="100" w:type="dxa"/>
            </w:tcMar>
            <w:vAlign w:val="center"/>
          </w:tcPr>
          <w:p>
            <w:pPr>
              <w:spacing w:after="0" w:line="240" w:lineRule="auto"/>
            </w:pPr>
            <w:r>
              <w:rPr>
                <w:sz w:val="18"/>
              </w:rPr>
              <w:t>Student pilot</w:t>
            </w:r>
          </w:p>
        </w:tc>
        <w:tc>
          <w:tcPr>
            <w:tcW w:type="dxa" w:w="6700"/>
            <w:tcMar>
              <w:top w:w="70" w:type="dxa"/>
              <w:start w:w="100" w:type="dxa"/>
              <w:bottom w:w="70" w:type="dxa"/>
              <w:end w:w="100" w:type="dxa"/>
            </w:tcMar>
            <w:vAlign w:val="center"/>
          </w:tcPr>
          <w:p>
            <w:pPr>
              <w:spacing w:after="0" w:line="240" w:lineRule="auto"/>
            </w:pPr>
            <w:r>
              <w:rPr>
                <w:sz w:val="18"/>
              </w:rPr>
              <w:t>Measure usability, retention and recommendation value</w:t>
            </w:r>
          </w:p>
        </w:tc>
      </w:tr>
      <w:tr>
        <w:tc>
          <w:tcPr>
            <w:tcW w:type="dxa" w:w="2600"/>
            <w:tcMar>
              <w:top w:w="70" w:type="dxa"/>
              <w:start w:w="100" w:type="dxa"/>
              <w:bottom w:w="70" w:type="dxa"/>
              <w:end w:w="100" w:type="dxa"/>
            </w:tcMar>
            <w:vAlign w:val="center"/>
          </w:tcPr>
          <w:p>
            <w:pPr>
              <w:spacing w:after="0" w:line="240" w:lineRule="auto"/>
            </w:pPr>
            <w:r>
              <w:rPr>
                <w:sz w:val="18"/>
              </w:rPr>
              <w:t>Paid validation</w:t>
            </w:r>
          </w:p>
        </w:tc>
        <w:tc>
          <w:tcPr>
            <w:tcW w:type="dxa" w:w="6700"/>
            <w:tcMar>
              <w:top w:w="70" w:type="dxa"/>
              <w:start w:w="100" w:type="dxa"/>
              <w:bottom w:w="70" w:type="dxa"/>
              <w:end w:w="100" w:type="dxa"/>
            </w:tcMar>
            <w:vAlign w:val="center"/>
          </w:tcPr>
          <w:p>
            <w:pPr>
              <w:spacing w:after="0" w:line="240" w:lineRule="auto"/>
            </w:pPr>
            <w:r>
              <w:rPr>
                <w:sz w:val="18"/>
              </w:rPr>
              <w:t>Validate Pro/Premium willingness to pay</w:t>
            </w:r>
          </w:p>
        </w:tc>
      </w:tr>
      <w:tr>
        <w:tc>
          <w:tcPr>
            <w:tcW w:type="dxa" w:w="2600"/>
            <w:tcMar>
              <w:top w:w="70" w:type="dxa"/>
              <w:start w:w="100" w:type="dxa"/>
              <w:bottom w:w="70" w:type="dxa"/>
              <w:end w:w="100" w:type="dxa"/>
            </w:tcMar>
            <w:vAlign w:val="center"/>
          </w:tcPr>
          <w:p>
            <w:pPr>
              <w:spacing w:after="0" w:line="240" w:lineRule="auto"/>
            </w:pPr>
            <w:r>
              <w:rPr>
                <w:sz w:val="18"/>
              </w:rPr>
              <w:t>Public beta &amp; growth</w:t>
            </w:r>
          </w:p>
        </w:tc>
        <w:tc>
          <w:tcPr>
            <w:tcW w:type="dxa" w:w="6700"/>
            <w:tcMar>
              <w:top w:w="70" w:type="dxa"/>
              <w:start w:w="100" w:type="dxa"/>
              <w:bottom w:w="70" w:type="dxa"/>
              <w:end w:w="100" w:type="dxa"/>
            </w:tcMar>
            <w:vAlign w:val="center"/>
          </w:tcPr>
          <w:p>
            <w:pPr>
              <w:spacing w:after="0" w:line="240" w:lineRule="auto"/>
            </w:pPr>
            <w:r>
              <w:rPr>
                <w:sz w:val="18"/>
              </w:rPr>
              <w:t>Launch live subscriptions and improve acquisition/retention</w:t>
            </w:r>
          </w:p>
        </w:tc>
      </w:tr>
    </w:tbl>
    <w:p>
      <w:pPr>
        <w:spacing w:after="0"/>
      </w:pPr>
    </w:p>
    <w:tbl>
      <w:tblPr>
        <w:tblW w:type="auto" w:w="0"/>
        <w:jc w:val="left"/>
        <w:tblLook w:firstColumn="1" w:firstRow="1" w:lastColumn="0" w:lastRow="0" w:noHBand="0" w:noVBand="1" w:val="04A0"/>
        <w:tblLayout w:type="fixed"/>
      </w:tblPr>
      <w:tblGrid>
        <w:gridCol w:w="9300"/>
      </w:tblGrid>
      <w:tr>
        <w:tc>
          <w:tcPr>
            <w:tcW w:type="dxa" w:w="9300"/>
            <w:tcMar>
              <w:top w:w="70" w:type="dxa"/>
              <w:start w:w="100" w:type="dxa"/>
              <w:bottom w:w="70" w:type="dxa"/>
              <w:end w:w="100" w:type="dxa"/>
            </w:tcMar>
            <w:vAlign w:val="center"/>
            <w:shd w:fill="F1EEFF"/>
          </w:tcPr>
          <w:p>
            <w:pPr>
              <w:spacing w:after="0"/>
            </w:pPr>
            <w:r>
              <w:rPr>
                <w:b/>
                <w:color w:val="412E72"/>
              </w:rPr>
              <w:t xml:space="preserve">MVP success: </w:t>
            </w:r>
            <w:r>
              <w:t>A student can organize tasks, plan study, receive explainable workload-risk guidance and alerts, complete work, view updated metrics and demonstrate Free/Pro/Premium sandbox entitlement without a real charge.</w:t>
            </w:r>
          </w:p>
        </w:tc>
      </w:tr>
    </w:tbl>
    <w:p>
      <w:pPr>
        <w:spacing w:after="0"/>
      </w:pPr>
    </w:p>
    <w:sectPr w:rsidR="00FC693F" w:rsidRPr="0006063C" w:rsidSect="00034616">
      <w:headerReference w:type="default" r:id="rId9"/>
      <w:footerReference w:type="default" r:id="rId10"/>
      <w:pgSz w:w="12240" w:h="15840"/>
      <w:pgMar w:top="1037" w:right="1181" w:bottom="1008"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Studora Startup Project  |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667085"/>
        <w:sz w:val="16"/>
      </w:rPr>
      <w:t>STUDORA  |  BUSINESS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color w:val="2531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412E72"/>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087F8C"/>
      <w:sz w:val="25"/>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Calibri" w:hAnsi="Calibri"/>
      <w:b/>
      <w:bCs/>
      <w:color w:val="2531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Calibri" w:hAnsi="Calibri"/>
      <w:b/>
      <w:color w:val="412E7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ind w:left="403" w:hanging="23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ind w:left="403" w:hanging="23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