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REQUIREMENTS DOCUMENT</w:t>
      </w:r>
    </w:p>
    <w:p>
      <w:pPr>
        <w:pStyle w:val="Subtitle"/>
      </w:pPr>
      <w:r>
        <w:t>Compact product, UX, intelligence and quality specification</w:t>
      </w:r>
    </w:p>
    <w:p>
      <w:pPr>
        <w:spacing w:after="120"/>
      </w:pPr>
      <w:r>
        <w:rPr>
          <w:b/>
          <w:color w:val="087F8C"/>
          <w:sz w:val="18"/>
        </w:rPr>
        <w:t>FINAL COMPACT EDITION  |  Student-only B2C: Free, Pro &amp; Premium</w:t>
      </w:r>
    </w:p>
    <w:p>
      <w:pPr>
        <w:pStyle w:val="Heading1"/>
      </w:pPr>
      <w:r>
        <w:t>1. Product Summary</w:t>
      </w:r>
    </w:p>
    <w:p>
      <w:r>
        <w:t>Studora is a cross-platform intelligent academic assistant that combines task management, planning, focus sessions, workload-related stress-risk analysis, personalized recommendations, alerts, insights and Free/Pro/Premium subscription logic.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9300"/>
      </w:tblGrid>
      <w:tr>
        <w:tc>
          <w:tcPr>
            <w:tcW w:type="dxa" w:w="93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1EEFF"/>
          </w:tcPr>
          <w:p>
            <w:pPr>
              <w:spacing w:after="0"/>
            </w:pPr>
            <w:r>
              <w:rPr>
                <w:b/>
                <w:color w:val="412E72"/>
              </w:rPr>
              <w:t xml:space="preserve">MVP objective: </w:t>
            </w:r>
            <w:r>
              <w:t>Deliver a real end-to-end student workflow and no-charge sandbox business demonstration; live payment and store publication remain post-MVP.</w:t>
            </w:r>
          </w:p>
        </w:tc>
      </w:tr>
    </w:tbl>
    <w:p>
      <w:pPr>
        <w:spacing w:after="0"/>
      </w:pPr>
    </w:p>
    <w:p>
      <w:pPr>
        <w:pStyle w:val="Heading1"/>
      </w:pPr>
      <w:r>
        <w:t>2. Personas and Core Journey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3300"/>
        <w:gridCol w:w="6000"/>
      </w:tblGrid>
      <w:tr>
        <w:tc>
          <w:tcPr>
            <w:tcW w:type="dxa" w:w="33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412E72"/>
          </w:tcPr>
          <w:p>
            <w:r>
              <w:rPr>
                <w:b/>
                <w:color w:val="FFFFFF"/>
                <w:sz w:val="18"/>
              </w:rPr>
              <w:t>Persona</w:t>
            </w:r>
          </w:p>
        </w:tc>
        <w:tc>
          <w:tcPr>
            <w:tcW w:type="dxa" w:w="60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412E72"/>
          </w:tcPr>
          <w:p>
            <w:r>
              <w:rPr>
                <w:b/>
                <w:color w:val="FFFFFF"/>
                <w:sz w:val="18"/>
              </w:rPr>
              <w:t>Critical need</w:t>
            </w:r>
          </w:p>
        </w:tc>
      </w:tr>
      <w:tr>
        <w:tc>
          <w:tcPr>
            <w:tcW w:type="dxa" w:w="33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Busy undergraduate</w:t>
            </w:r>
          </w:p>
        </w:tc>
        <w:tc>
          <w:tcPr>
            <w:tcW w:type="dxa" w:w="60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Prioritized daily plan across several courses</w:t>
            </w:r>
          </w:p>
        </w:tc>
      </w:tr>
      <w:tr>
        <w:tc>
          <w:tcPr>
            <w:tcW w:type="dxa" w:w="33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First-year student</w:t>
            </w:r>
          </w:p>
        </w:tc>
        <w:tc>
          <w:tcPr>
            <w:tcW w:type="dxa" w:w="60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Simple habit-building guidance</w:t>
            </w:r>
          </w:p>
        </w:tc>
      </w:tr>
      <w:tr>
        <w:tc>
          <w:tcPr>
            <w:tcW w:type="dxa" w:w="33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Final-year student</w:t>
            </w:r>
          </w:p>
        </w:tc>
        <w:tc>
          <w:tcPr>
            <w:tcW w:type="dxa" w:w="60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Effort-aware planning for major deliverables</w:t>
            </w:r>
          </w:p>
        </w:tc>
      </w:tr>
      <w:tr>
        <w:tc>
          <w:tcPr>
            <w:tcW w:type="dxa" w:w="33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Working student</w:t>
            </w:r>
          </w:p>
        </w:tc>
        <w:tc>
          <w:tcPr>
            <w:tcW w:type="dxa" w:w="60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Feasible study plan within limited time</w:t>
            </w:r>
          </w:p>
        </w:tc>
      </w:tr>
    </w:tbl>
    <w:p>
      <w:pPr>
        <w:spacing w:after="0"/>
      </w:pPr>
    </w:p>
    <w:p>
      <w:r>
        <w:t>Core journey: Sign up -&gt; add subjects/tasks -&gt; review Today/Planner -&gt; follow priority -&gt; start focus session -&gt; receive workload/break guidance -&gt; complete/reschedule work -&gt; review Insights -&gt; optionally demonstrate plan upgrade.</w:t>
      </w:r>
    </w:p>
    <w:p>
      <w:pPr>
        <w:pStyle w:val="Heading1"/>
      </w:pPr>
      <w:r>
        <w:t>3. Information Architecture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2700"/>
        <w:gridCol w:w="6600"/>
      </w:tblGrid>
      <w:tr>
        <w:tc>
          <w:tcPr>
            <w:tcW w:type="dxa" w:w="2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412E72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6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412E72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2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Today</w:t>
            </w:r>
          </w:p>
        </w:tc>
        <w:tc>
          <w:tcPr>
            <w:tcW w:type="dxa" w:w="6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Workload card, next action, due soon, planned study, quick add</w:t>
            </w:r>
          </w:p>
        </w:tc>
      </w:tr>
      <w:tr>
        <w:tc>
          <w:tcPr>
            <w:tcW w:type="dxa" w:w="2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Tasks</w:t>
            </w:r>
          </w:p>
        </w:tc>
        <w:tc>
          <w:tcPr>
            <w:tcW w:type="dxa" w:w="6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All/filter/search, form, details and subtasks</w:t>
            </w:r>
          </w:p>
        </w:tc>
      </w:tr>
      <w:tr>
        <w:tc>
          <w:tcPr>
            <w:tcW w:type="dxa" w:w="2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Planner</w:t>
            </w:r>
          </w:p>
        </w:tc>
        <w:tc>
          <w:tcPr>
            <w:tcW w:type="dxa" w:w="6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Month calendar, daily/weekly agenda and study blocks</w:t>
            </w:r>
          </w:p>
        </w:tc>
      </w:tr>
      <w:tr>
        <w:tc>
          <w:tcPr>
            <w:tcW w:type="dxa" w:w="2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Focus</w:t>
            </w:r>
          </w:p>
        </w:tc>
        <w:tc>
          <w:tcPr>
            <w:tcW w:type="dxa" w:w="6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Task-linked timer, session controls, break and history</w:t>
            </w:r>
          </w:p>
        </w:tc>
      </w:tr>
      <w:tr>
        <w:tc>
          <w:tcPr>
            <w:tcW w:type="dxa" w:w="2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Insights</w:t>
            </w:r>
          </w:p>
        </w:tc>
        <w:tc>
          <w:tcPr>
            <w:tcW w:type="dxa" w:w="6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Progress, study, workload trend and recommendation outcomes</w:t>
            </w:r>
          </w:p>
        </w:tc>
      </w:tr>
      <w:tr>
        <w:tc>
          <w:tcPr>
            <w:tcW w:type="dxa" w:w="2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Plans/Settings</w:t>
            </w:r>
          </w:p>
        </w:tc>
        <w:tc>
          <w:tcPr>
            <w:tcW w:type="dxa" w:w="6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Plans, sandbox upgrade, profile, alerts, privacy and support</w:t>
            </w:r>
          </w:p>
        </w:tc>
      </w:tr>
    </w:tbl>
    <w:p>
      <w:pPr>
        <w:spacing w:after="0"/>
      </w:pPr>
    </w:p>
    <w:p>
      <w:pPr>
        <w:pStyle w:val="Heading1"/>
      </w:pPr>
      <w:r>
        <w:t>4. Authentication and Ownership</w:t>
      </w:r>
    </w:p>
    <w:p>
      <w:pPr>
        <w:pStyle w:val="ListBullet"/>
      </w:pPr>
      <w:r>
        <w:t>Register, sign in, sign out, secure session persistence and recovery where configured.</w:t>
      </w:r>
    </w:p>
    <w:p>
      <w:pPr>
        <w:pStyle w:val="ListBullet"/>
      </w:pPr>
      <w:r>
        <w:t>Edit profile, timezone and basic study preferences.</w:t>
      </w:r>
    </w:p>
    <w:p>
      <w:pPr>
        <w:pStyle w:val="ListBullet"/>
      </w:pPr>
      <w:r>
        <w:t>Protect routes and enforce authenticated ownership for all personal data.</w:t>
      </w:r>
    </w:p>
    <w:p>
      <w:pPr>
        <w:pStyle w:val="ListBullet"/>
      </w:pPr>
      <w:r>
        <w:t>Provide account deletion request and consequence confirmation.</w:t>
      </w:r>
    </w:p>
    <w:p>
      <w:pPr>
        <w:pStyle w:val="Heading1"/>
      </w:pPr>
      <w:r>
        <w:t>5. Subjects and Tasks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1100"/>
        <w:gridCol w:w="8200"/>
      </w:tblGrid>
      <w:tr>
        <w:tc>
          <w:tcPr>
            <w:tcW w:type="dxa" w:w="11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412E72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82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412E72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11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T1</w:t>
            </w:r>
          </w:p>
        </w:tc>
        <w:tc>
          <w:tcPr>
            <w:tcW w:type="dxa" w:w="82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Create/edit/archive subjects.</w:t>
            </w:r>
          </w:p>
        </w:tc>
      </w:tr>
      <w:tr>
        <w:tc>
          <w:tcPr>
            <w:tcW w:type="dxa" w:w="11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T2</w:t>
            </w:r>
          </w:p>
        </w:tc>
        <w:tc>
          <w:tcPr>
            <w:tcW w:type="dxa" w:w="82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Create task with title, subject, type, deadline, priority, estimate and status.</w:t>
            </w:r>
          </w:p>
        </w:tc>
      </w:tr>
      <w:tr>
        <w:tc>
          <w:tcPr>
            <w:tcW w:type="dxa" w:w="11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T3</w:t>
            </w:r>
          </w:p>
        </w:tc>
        <w:tc>
          <w:tcPr>
            <w:tcW w:type="dxa" w:w="82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Types: Assignment, Quiz, Project, Presentation, Lab, Midterm, Final Exam, Study Session, Other.</w:t>
            </w:r>
          </w:p>
        </w:tc>
      </w:tr>
      <w:tr>
        <w:tc>
          <w:tcPr>
            <w:tcW w:type="dxa" w:w="11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T4</w:t>
            </w:r>
          </w:p>
        </w:tc>
        <w:tc>
          <w:tcPr>
            <w:tcW w:type="dxa" w:w="82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Optional notes and subtasks.</w:t>
            </w:r>
          </w:p>
        </w:tc>
      </w:tr>
      <w:tr>
        <w:tc>
          <w:tcPr>
            <w:tcW w:type="dxa" w:w="11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T5</w:t>
            </w:r>
          </w:p>
        </w:tc>
        <w:tc>
          <w:tcPr>
            <w:tcW w:type="dxa" w:w="82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Search/filter/sort; view Today, Upcoming, Overdue and Completed.</w:t>
            </w:r>
          </w:p>
        </w:tc>
      </w:tr>
      <w:tr>
        <w:tc>
          <w:tcPr>
            <w:tcW w:type="dxa" w:w="11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T6</w:t>
            </w:r>
          </w:p>
        </w:tc>
        <w:tc>
          <w:tcPr>
            <w:tcW w:type="dxa" w:w="82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Edit, complete, reopen, duplicate, reschedule and delete.</w:t>
            </w:r>
          </w:p>
        </w:tc>
      </w:tr>
      <w:tr>
        <w:tc>
          <w:tcPr>
            <w:tcW w:type="dxa" w:w="11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T7</w:t>
            </w:r>
          </w:p>
        </w:tc>
        <w:tc>
          <w:tcPr>
            <w:tcW w:type="dxa" w:w="82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Record timestamps and refresh workload/dashboard.</w:t>
            </w:r>
          </w:p>
        </w:tc>
      </w:tr>
      <w:tr>
        <w:tc>
          <w:tcPr>
            <w:tcW w:type="dxa" w:w="11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T8</w:t>
            </w:r>
          </w:p>
        </w:tc>
        <w:tc>
          <w:tcPr>
            <w:tcW w:type="dxa" w:w="82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Provide loading, empty, validation, offline and error states.</w:t>
            </w:r>
          </w:p>
        </w:tc>
      </w:tr>
    </w:tbl>
    <w:p>
      <w:pPr>
        <w:spacing w:after="0"/>
      </w:pPr>
    </w:p>
    <w:p>
      <w:pPr>
        <w:pStyle w:val="Heading1"/>
      </w:pPr>
      <w:r>
        <w:t>6. Calendar, Planner and Focus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2200"/>
        <w:gridCol w:w="7100"/>
      </w:tblGrid>
      <w:tr>
        <w:tc>
          <w:tcPr>
            <w:tcW w:type="dxa" w:w="22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412E72"/>
          </w:tcPr>
          <w:p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71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412E72"/>
          </w:tcPr>
          <w:p>
            <w:r>
              <w:rPr>
                <w:b/>
                <w:color w:val="FFFFFF"/>
                <w:sz w:val="18"/>
              </w:rPr>
              <w:t>Required behaviour</w:t>
            </w:r>
          </w:p>
        </w:tc>
      </w:tr>
      <w:tr>
        <w:tc>
          <w:tcPr>
            <w:tcW w:type="dxa" w:w="22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Calendar</w:t>
            </w:r>
          </w:p>
        </w:tc>
        <w:tc>
          <w:tcPr>
            <w:tcW w:type="dxa" w:w="71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Tasks/study blocks by date; selected date opens agenda</w:t>
            </w:r>
          </w:p>
        </w:tc>
      </w:tr>
      <w:tr>
        <w:tc>
          <w:tcPr>
            <w:tcW w:type="dxa" w:w="22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Planner</w:t>
            </w:r>
          </w:p>
        </w:tc>
        <w:tc>
          <w:tcPr>
            <w:tcW w:type="dxa" w:w="71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Create/edit/move/delete task-linked daily/weekly study blocks</w:t>
            </w:r>
          </w:p>
        </w:tc>
      </w:tr>
      <w:tr>
        <w:tc>
          <w:tcPr>
            <w:tcW w:type="dxa" w:w="22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Feasibility</w:t>
            </w:r>
          </w:p>
        </w:tc>
        <w:tc>
          <w:tcPr>
            <w:tcW w:type="dxa" w:w="71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Show estimated due-hours vs scheduled/available time</w:t>
            </w:r>
          </w:p>
        </w:tc>
      </w:tr>
      <w:tr>
        <w:tc>
          <w:tcPr>
            <w:tcW w:type="dxa" w:w="22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Timer</w:t>
            </w:r>
          </w:p>
        </w:tc>
        <w:tc>
          <w:tcPr>
            <w:tcW w:type="dxa" w:w="71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Start, pause, resume, cancel, finish and recover after backgrounding</w:t>
            </w:r>
          </w:p>
        </w:tc>
      </w:tr>
      <w:tr>
        <w:tc>
          <w:tcPr>
            <w:tcW w:type="dxa" w:w="22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Session</w:t>
            </w:r>
          </w:p>
        </w:tc>
        <w:tc>
          <w:tcPr>
            <w:tcW w:type="dxa" w:w="71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Record active duration, pause and linked task</w:t>
            </w:r>
          </w:p>
        </w:tc>
      </w:tr>
      <w:tr>
        <w:tc>
          <w:tcPr>
            <w:tcW w:type="dxa" w:w="22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Break</w:t>
            </w:r>
          </w:p>
        </w:tc>
        <w:tc>
          <w:tcPr>
            <w:tcW w:type="dxa" w:w="71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Detect continuous study; Take Break, Snooze or Dismiss</w:t>
            </w:r>
          </w:p>
        </w:tc>
      </w:tr>
    </w:tbl>
    <w:p>
      <w:pPr>
        <w:spacing w:after="0"/>
      </w:pPr>
    </w:p>
    <w:p>
      <w:pPr>
        <w:pStyle w:val="Heading1"/>
      </w:pPr>
      <w:r>
        <w:t>7. Workload-risk Engine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2500"/>
        <w:gridCol w:w="6800"/>
      </w:tblGrid>
      <w:tr>
        <w:tc>
          <w:tcPr>
            <w:tcW w:type="dxa" w:w="25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412E72"/>
          </w:tcPr>
          <w:p>
            <w:r>
              <w:rPr>
                <w:b/>
                <w:color w:val="FFFFFF"/>
                <w:sz w:val="18"/>
              </w:rPr>
              <w:t>Signal group</w:t>
            </w:r>
          </w:p>
        </w:tc>
        <w:tc>
          <w:tcPr>
            <w:tcW w:type="dxa" w:w="6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412E72"/>
          </w:tcPr>
          <w:p>
            <w:r>
              <w:rPr>
                <w:b/>
                <w:color w:val="FFFFFF"/>
                <w:sz w:val="18"/>
              </w:rPr>
              <w:t>Examples</w:t>
            </w:r>
          </w:p>
        </w:tc>
      </w:tr>
      <w:tr>
        <w:tc>
          <w:tcPr>
            <w:tcW w:type="dxa" w:w="25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Deadline</w:t>
            </w:r>
          </w:p>
        </w:tc>
        <w:tc>
          <w:tcPr>
            <w:tcW w:type="dxa" w:w="6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Overdue, due 24/48/72h and clustering</w:t>
            </w:r>
          </w:p>
        </w:tc>
      </w:tr>
      <w:tr>
        <w:tc>
          <w:tcPr>
            <w:tcW w:type="dxa" w:w="25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Importance</w:t>
            </w:r>
          </w:p>
        </w:tc>
        <w:tc>
          <w:tcPr>
            <w:tcW w:type="dxa" w:w="6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High-priority and assessment tasks due soon</w:t>
            </w:r>
          </w:p>
        </w:tc>
      </w:tr>
      <w:tr>
        <w:tc>
          <w:tcPr>
            <w:tcW w:type="dxa" w:w="25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Feasibility</w:t>
            </w:r>
          </w:p>
        </w:tc>
        <w:tc>
          <w:tcPr>
            <w:tcW w:type="dxa" w:w="6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Estimated due-hours vs available/scheduled time</w:t>
            </w:r>
          </w:p>
        </w:tc>
      </w:tr>
      <w:tr>
        <w:tc>
          <w:tcPr>
            <w:tcW w:type="dxa" w:w="25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Backlog</w:t>
            </w:r>
          </w:p>
        </w:tc>
        <w:tc>
          <w:tcPr>
            <w:tcW w:type="dxa" w:w="6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Pending/old tasks and incomplete subtasks</w:t>
            </w:r>
          </w:p>
        </w:tc>
      </w:tr>
      <w:tr>
        <w:tc>
          <w:tcPr>
            <w:tcW w:type="dxa" w:w="25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Completion</w:t>
            </w:r>
          </w:p>
        </w:tc>
        <w:tc>
          <w:tcPr>
            <w:tcW w:type="dxa" w:w="6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Recent ratio, delay and repeated rescheduling</w:t>
            </w:r>
          </w:p>
        </w:tc>
      </w:tr>
      <w:tr>
        <w:tc>
          <w:tcPr>
            <w:tcW w:type="dxa" w:w="25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Study</w:t>
            </w:r>
          </w:p>
        </w:tc>
        <w:tc>
          <w:tcPr>
            <w:tcW w:type="dxa" w:w="6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Long uninterrupted session and missing breaks</w:t>
            </w:r>
          </w:p>
        </w:tc>
      </w:tr>
    </w:tbl>
    <w:p>
      <w:pPr>
        <w:spacing w:after="0"/>
      </w:pPr>
    </w:p>
    <w:p>
      <w:pPr>
        <w:pStyle w:val="ListBullet"/>
      </w:pPr>
      <w:r>
        <w:t>Return score, Low/Moderate/High/Critical, factors, relevant tasks, actions, timestamp and engine version.</w:t>
      </w:r>
    </w:p>
    <w:p>
      <w:pPr>
        <w:pStyle w:val="ListBullet"/>
      </w:pPr>
      <w:r>
        <w:t>Require two strong signals for High/Critical.</w:t>
      </w:r>
    </w:p>
    <w:p>
      <w:pPr>
        <w:pStyle w:val="ListBullet"/>
      </w:pPr>
      <w:r>
        <w:t>Use deterministic rules as the authoritative MVP result.</w:t>
      </w:r>
    </w:p>
    <w:p>
      <w:pPr>
        <w:pStyle w:val="ListBullet"/>
      </w:pPr>
      <w:r>
        <w:t>Handle missing estimates by reducing confidence, not assuming zero effort.</w:t>
      </w:r>
    </w:p>
    <w:p>
      <w:pPr>
        <w:pStyle w:val="ListBullet"/>
      </w:pPr>
      <w:r>
        <w:t>Test boundaries, missing data, overload scenarios and duplicate-alert cooldown.</w:t>
      </w:r>
    </w:p>
    <w:p>
      <w:pPr>
        <w:pStyle w:val="Heading1"/>
      </w:pPr>
      <w:r>
        <w:t>8. Recommendations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2300"/>
        <w:gridCol w:w="7000"/>
      </w:tblGrid>
      <w:tr>
        <w:tc>
          <w:tcPr>
            <w:tcW w:type="dxa" w:w="23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412E72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0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412E72"/>
          </w:tcPr>
          <w:p>
            <w:r>
              <w:rPr>
                <w:b/>
                <w:color w:val="FFFFFF"/>
                <w:sz w:val="18"/>
              </w:rPr>
              <w:t>Behaviour</w:t>
            </w:r>
          </w:p>
        </w:tc>
      </w:tr>
      <w:tr>
        <w:tc>
          <w:tcPr>
            <w:tcW w:type="dxa" w:w="23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Priority</w:t>
            </w:r>
          </w:p>
        </w:tc>
        <w:tc>
          <w:tcPr>
            <w:tcW w:type="dxa" w:w="70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Order tasks and explain urgency/importance/feasibility</w:t>
            </w:r>
          </w:p>
        </w:tc>
      </w:tr>
      <w:tr>
        <w:tc>
          <w:tcPr>
            <w:tcW w:type="dxa" w:w="23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Split</w:t>
            </w:r>
          </w:p>
        </w:tc>
        <w:tc>
          <w:tcPr>
            <w:tcW w:type="dxa" w:w="70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Propose manageable subtasks for large work</w:t>
            </w:r>
          </w:p>
        </w:tc>
      </w:tr>
      <w:tr>
        <w:tc>
          <w:tcPr>
            <w:tcW w:type="dxa" w:w="23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Reschedule</w:t>
            </w:r>
          </w:p>
        </w:tc>
        <w:tc>
          <w:tcPr>
            <w:tcW w:type="dxa" w:w="70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Move lower-priority work only after user approval</w:t>
            </w:r>
          </w:p>
        </w:tc>
      </w:tr>
      <w:tr>
        <w:tc>
          <w:tcPr>
            <w:tcW w:type="dxa" w:w="23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Study block</w:t>
            </w:r>
          </w:p>
        </w:tc>
        <w:tc>
          <w:tcPr>
            <w:tcW w:type="dxa" w:w="70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Suggest time for important unscheduled work</w:t>
            </w:r>
          </w:p>
        </w:tc>
      </w:tr>
      <w:tr>
        <w:tc>
          <w:tcPr>
            <w:tcW w:type="dxa" w:w="23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Break</w:t>
            </w:r>
          </w:p>
        </w:tc>
        <w:tc>
          <w:tcPr>
            <w:tcW w:type="dxa" w:w="70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Recommend 10-15 minutes, hydration, walk or refresh</w:t>
            </w:r>
          </w:p>
        </w:tc>
      </w:tr>
      <w:tr>
        <w:tc>
          <w:tcPr>
            <w:tcW w:type="dxa" w:w="23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Recovery</w:t>
            </w:r>
          </w:p>
        </w:tc>
        <w:tc>
          <w:tcPr>
            <w:tcW w:type="dxa" w:w="70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Create achievable next steps for overdue backlog</w:t>
            </w:r>
          </w:p>
        </w:tc>
      </w:tr>
    </w:tbl>
    <w:p>
      <w:pPr>
        <w:spacing w:after="0"/>
      </w:pPr>
    </w:p>
    <w:p>
      <w:r>
        <w:t>Recommendations must support accept/edit/dismiss/feedback, never silently change data and never use diagnostic or blaming language.</w:t>
      </w:r>
    </w:p>
    <w:p>
      <w:pPr>
        <w:pStyle w:val="Heading1"/>
      </w:pPr>
      <w:r>
        <w:t>9. Notifications</w:t>
      </w:r>
    </w:p>
    <w:p>
      <w:pPr>
        <w:pStyle w:val="ListBullet"/>
      </w:pPr>
      <w:r>
        <w:t>Contextual permission request and disabled-permission guidance.</w:t>
      </w:r>
    </w:p>
    <w:p>
      <w:pPr>
        <w:pStyle w:val="ListBullet"/>
      </w:pPr>
      <w:r>
        <w:t>Deadline, workload-risk and continuous-study alerts.</w:t>
      </w:r>
    </w:p>
    <w:p>
      <w:pPr>
        <w:pStyle w:val="ListBullet"/>
      </w:pPr>
      <w:r>
        <w:t>Sound/vibration where OS permission and mode permit.</w:t>
      </w:r>
    </w:p>
    <w:p>
      <w:pPr>
        <w:pStyle w:val="ListBullet"/>
      </w:pPr>
      <w:r>
        <w:t>Deep link to relevant task, session or explanation.</w:t>
      </w:r>
    </w:p>
    <w:p>
      <w:pPr>
        <w:pStyle w:val="ListBullet"/>
      </w:pPr>
      <w:r>
        <w:t>Snooze, dismiss, quiet hours, cooldown and duplicate prevention.</w:t>
      </w:r>
    </w:p>
    <w:p>
      <w:pPr>
        <w:pStyle w:val="ListBullet"/>
      </w:pPr>
      <w:r>
        <w:t>Physical-device verification required; no promise of call-style ringing.</w:t>
      </w:r>
    </w:p>
    <w:p>
      <w:pPr>
        <w:pStyle w:val="Heading1"/>
      </w:pPr>
      <w:r>
        <w:t>10. Dashboard and Metrics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2400"/>
        <w:gridCol w:w="6900"/>
      </w:tblGrid>
      <w:tr>
        <w:tc>
          <w:tcPr>
            <w:tcW w:type="dxa" w:w="2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412E72"/>
          </w:tcPr>
          <w:p>
            <w:r>
              <w:rPr>
                <w:b/>
                <w:color w:val="FFFFFF"/>
                <w:sz w:val="18"/>
              </w:rPr>
              <w:t>Block</w:t>
            </w:r>
          </w:p>
        </w:tc>
        <w:tc>
          <w:tcPr>
            <w:tcW w:type="dxa" w:w="69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412E72"/>
          </w:tcPr>
          <w:p>
            <w:r>
              <w:rPr>
                <w:b/>
                <w:color w:val="FFFFFF"/>
                <w:sz w:val="18"/>
              </w:rPr>
              <w:t>Measures</w:t>
            </w:r>
          </w:p>
        </w:tc>
      </w:tr>
      <w:tr>
        <w:tc>
          <w:tcPr>
            <w:tcW w:type="dxa" w:w="2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Overview</w:t>
            </w:r>
          </w:p>
        </w:tc>
        <w:tc>
          <w:tcPr>
            <w:tcW w:type="dxa" w:w="69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Pending, completed, overdue and due soon</w:t>
            </w:r>
          </w:p>
        </w:tc>
      </w:tr>
      <w:tr>
        <w:tc>
          <w:tcPr>
            <w:tcW w:type="dxa" w:w="2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Progress</w:t>
            </w:r>
          </w:p>
        </w:tc>
        <w:tc>
          <w:tcPr>
            <w:tcW w:type="dxa" w:w="69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Completion percentage and on-time rate</w:t>
            </w:r>
          </w:p>
        </w:tc>
      </w:tr>
      <w:tr>
        <w:tc>
          <w:tcPr>
            <w:tcW w:type="dxa" w:w="2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Study</w:t>
            </w:r>
          </w:p>
        </w:tc>
        <w:tc>
          <w:tcPr>
            <w:tcW w:type="dxa" w:w="69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Today/week minutes, sessions and average duration</w:t>
            </w:r>
          </w:p>
        </w:tc>
      </w:tr>
      <w:tr>
        <w:tc>
          <w:tcPr>
            <w:tcW w:type="dxa" w:w="2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Workload</w:t>
            </w:r>
          </w:p>
        </w:tc>
        <w:tc>
          <w:tcPr>
            <w:tcW w:type="dxa" w:w="69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Current level, factors and stored trend</w:t>
            </w:r>
          </w:p>
        </w:tc>
      </w:tr>
      <w:tr>
        <w:tc>
          <w:tcPr>
            <w:tcW w:type="dxa" w:w="2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Productivity</w:t>
            </w:r>
          </w:p>
        </w:tc>
        <w:tc>
          <w:tcPr>
            <w:tcW w:type="dxa" w:w="69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Completion trend, planned vs actual and streak</w:t>
            </w:r>
          </w:p>
        </w:tc>
      </w:tr>
      <w:tr>
        <w:tc>
          <w:tcPr>
            <w:tcW w:type="dxa" w:w="2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Guidance</w:t>
            </w:r>
          </w:p>
        </w:tc>
        <w:tc>
          <w:tcPr>
            <w:tcW w:type="dxa" w:w="69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Viewed, accepted, dismissed and acted upon</w:t>
            </w:r>
          </w:p>
        </w:tc>
      </w:tr>
    </w:tbl>
    <w:p>
      <w:pPr>
        <w:spacing w:after="0"/>
      </w:pPr>
    </w:p>
    <w:p>
      <w:pPr>
        <w:pStyle w:val="ListBullet"/>
      </w:pPr>
      <w:r>
        <w:t>On-time = completed on/before deadline divided by completed tasks with deadlines.</w:t>
      </w:r>
    </w:p>
    <w:p>
      <w:pPr>
        <w:pStyle w:val="ListBullet"/>
      </w:pPr>
      <w:r>
        <w:t>Overdue = incomplete task whose deadline is in the past.</w:t>
      </w:r>
    </w:p>
    <w:p>
      <w:pPr>
        <w:pStyle w:val="ListBullet"/>
      </w:pPr>
      <w:r>
        <w:t>Study minutes = validated active duration of completed sessions.</w:t>
      </w:r>
    </w:p>
    <w:p>
      <w:pPr>
        <w:pStyle w:val="ListBullet"/>
      </w:pPr>
      <w:r>
        <w:t>All date grouping uses the student timezone; values reconcile with records.</w:t>
      </w:r>
    </w:p>
    <w:p>
      <w:pPr>
        <w:pStyle w:val="Heading1"/>
      </w:pPr>
      <w:r>
        <w:t>11. Free, Pro and Premium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2500"/>
        <w:gridCol w:w="2200"/>
        <w:gridCol w:w="2300"/>
        <w:gridCol w:w="2300"/>
      </w:tblGrid>
      <w:tr>
        <w:tc>
          <w:tcPr>
            <w:tcW w:type="dxa" w:w="25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412E72"/>
          </w:tcPr>
          <w:p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2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412E72"/>
          </w:tcPr>
          <w:p>
            <w:r>
              <w:rPr>
                <w:b/>
                <w:color w:val="FFFFFF"/>
                <w:sz w:val="18"/>
              </w:rPr>
              <w:t>Free</w:t>
            </w:r>
          </w:p>
        </w:tc>
        <w:tc>
          <w:tcPr>
            <w:tcW w:type="dxa" w:w="23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412E72"/>
          </w:tcPr>
          <w:p>
            <w:r>
              <w:rPr>
                <w:b/>
                <w:color w:val="FFFFFF"/>
                <w:sz w:val="18"/>
              </w:rPr>
              <w:t>Pro</w:t>
            </w:r>
          </w:p>
        </w:tc>
        <w:tc>
          <w:tcPr>
            <w:tcW w:type="dxa" w:w="23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412E72"/>
          </w:tcPr>
          <w:p>
            <w:r>
              <w:rPr>
                <w:b/>
                <w:color w:val="FFFFFF"/>
                <w:sz w:val="18"/>
              </w:rPr>
              <w:t>Premium</w:t>
            </w:r>
          </w:p>
        </w:tc>
      </w:tr>
      <w:tr>
        <w:tc>
          <w:tcPr>
            <w:tcW w:type="dxa" w:w="25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Tasks/planner</w:t>
            </w:r>
          </w:p>
        </w:tc>
        <w:tc>
          <w:tcPr>
            <w:tcW w:type="dxa" w:w="22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Core</w:t>
            </w:r>
          </w:p>
        </w:tc>
        <w:tc>
          <w:tcPr>
            <w:tcW w:type="dxa" w:w="23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High/unlimited</w:t>
            </w:r>
          </w:p>
        </w:tc>
        <w:tc>
          <w:tcPr>
            <w:tcW w:type="dxa" w:w="23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Highest fair use</w:t>
            </w:r>
          </w:p>
        </w:tc>
      </w:tr>
      <w:tr>
        <w:tc>
          <w:tcPr>
            <w:tcW w:type="dxa" w:w="25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Risk</w:t>
            </w:r>
          </w:p>
        </w:tc>
        <w:tc>
          <w:tcPr>
            <w:tcW w:type="dxa" w:w="22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Basic current</w:t>
            </w:r>
          </w:p>
        </w:tc>
        <w:tc>
          <w:tcPr>
            <w:tcW w:type="dxa" w:w="23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Full factors/history</w:t>
            </w:r>
          </w:p>
        </w:tc>
        <w:tc>
          <w:tcPr>
            <w:tcW w:type="dxa" w:w="23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Deep trend/forecast</w:t>
            </w:r>
          </w:p>
        </w:tc>
      </w:tr>
      <w:tr>
        <w:tc>
          <w:tcPr>
            <w:tcW w:type="dxa" w:w="25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Guidance</w:t>
            </w:r>
          </w:p>
        </w:tc>
        <w:tc>
          <w:tcPr>
            <w:tcW w:type="dxa" w:w="22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Essential/limited</w:t>
            </w:r>
          </w:p>
        </w:tc>
        <w:tc>
          <w:tcPr>
            <w:tcW w:type="dxa" w:w="23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Personalized</w:t>
            </w:r>
          </w:p>
        </w:tc>
        <w:tc>
          <w:tcPr>
            <w:tcW w:type="dxa" w:w="23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Advanced automation</w:t>
            </w:r>
          </w:p>
        </w:tc>
      </w:tr>
      <w:tr>
        <w:tc>
          <w:tcPr>
            <w:tcW w:type="dxa" w:w="25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Insights</w:t>
            </w:r>
          </w:p>
        </w:tc>
        <w:tc>
          <w:tcPr>
            <w:tcW w:type="dxa" w:w="22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Core</w:t>
            </w:r>
          </w:p>
        </w:tc>
        <w:tc>
          <w:tcPr>
            <w:tcW w:type="dxa" w:w="23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Advanced</w:t>
            </w:r>
          </w:p>
        </w:tc>
        <w:tc>
          <w:tcPr>
            <w:tcW w:type="dxa" w:w="23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Deep personalized</w:t>
            </w:r>
          </w:p>
        </w:tc>
      </w:tr>
      <w:tr>
        <w:tc>
          <w:tcPr>
            <w:tcW w:type="dxa" w:w="25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AI use</w:t>
            </w:r>
          </w:p>
        </w:tc>
        <w:tc>
          <w:tcPr>
            <w:tcW w:type="dxa" w:w="22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Limited</w:t>
            </w:r>
          </w:p>
        </w:tc>
        <w:tc>
          <w:tcPr>
            <w:tcW w:type="dxa" w:w="23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Higher</w:t>
            </w:r>
          </w:p>
        </w:tc>
        <w:tc>
          <w:tcPr>
            <w:tcW w:type="dxa" w:w="23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Highest fair use</w:t>
            </w:r>
          </w:p>
        </w:tc>
      </w:tr>
    </w:tbl>
    <w:p>
      <w:pPr>
        <w:spacing w:after="0"/>
      </w:pPr>
    </w:p>
    <w:p>
      <w:pPr>
        <w:pStyle w:val="ListBullet"/>
      </w:pPr>
      <w:r>
        <w:t>Unavailable paid action opens an informative paywall.</w:t>
      </w:r>
    </w:p>
    <w:p>
      <w:pPr>
        <w:pStyle w:val="ListBullet"/>
      </w:pPr>
      <w:r>
        <w:t>Plan status and limits are visible.</w:t>
      </w:r>
    </w:p>
    <w:p>
      <w:pPr>
        <w:pStyle w:val="ListBullet"/>
      </w:pPr>
      <w:r>
        <w:t>MVP checkout is labelled sandbox and never asks for financial data.</w:t>
      </w:r>
    </w:p>
    <w:p>
      <w:pPr>
        <w:pStyle w:val="ListBullet"/>
      </w:pPr>
      <w:r>
        <w:t>Downgrade keeps user-created data.</w:t>
      </w:r>
    </w:p>
    <w:p>
      <w:pPr>
        <w:pStyle w:val="ListBullet"/>
      </w:pPr>
      <w:r>
        <w:t>Future live integration supports validation, restore, renewal and cancellation.</w:t>
      </w:r>
    </w:p>
    <w:p>
      <w:pPr>
        <w:pStyle w:val="Heading1"/>
      </w:pPr>
      <w:r>
        <w:t>12. UI/UX</w:t>
      </w:r>
    </w:p>
    <w:p>
      <w:pPr>
        <w:pStyle w:val="ListBullet"/>
      </w:pPr>
      <w:r>
        <w:t>Deep violet, teal, coral, warm yellow, lavender and mint visual system.</w:t>
      </w:r>
    </w:p>
    <w:p>
      <w:pPr>
        <w:pStyle w:val="ListBullet"/>
      </w:pPr>
      <w:r>
        <w:t>Light-first layered cards and controlled gradients; avoid excessive dark/blank white screens.</w:t>
      </w:r>
    </w:p>
    <w:p>
      <w:pPr>
        <w:pStyle w:val="ListBullet"/>
      </w:pPr>
      <w:r>
        <w:t>Readable contrast, scalable text, non-colour status cues and 44x44 touch targets.</w:t>
      </w:r>
    </w:p>
    <w:p>
      <w:pPr>
        <w:pStyle w:val="ListBullet"/>
      </w:pPr>
      <w:r>
        <w:t>One dominant action per screen; progressive disclosure and plain-language charts.</w:t>
      </w:r>
    </w:p>
    <w:p>
      <w:pPr>
        <w:pStyle w:val="ListBullet"/>
      </w:pPr>
      <w:r>
        <w:t>Reusable design tokens/components; support every loading/empty/error/permission/limit state.</w:t>
      </w:r>
    </w:p>
    <w:p>
      <w:pPr>
        <w:pStyle w:val="Heading1"/>
      </w:pPr>
      <w:r>
        <w:t>13. Data, API and Analytics</w:t>
      </w:r>
    </w:p>
    <w:p>
      <w:r>
        <w:t>Use a versioned authenticated API for profile, preferences, subjects, tasks, planner, sessions, workload, recommendations, notifications, dashboard, plans/entitlements, sandbox events and feedback. Never accept client user_id as authorization proof.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2700"/>
        <w:gridCol w:w="6600"/>
      </w:tblGrid>
      <w:tr>
        <w:tc>
          <w:tcPr>
            <w:tcW w:type="dxa" w:w="2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412E72"/>
          </w:tcPr>
          <w:p>
            <w:r>
              <w:rPr>
                <w:b/>
                <w:color w:val="FFFFFF"/>
                <w:sz w:val="18"/>
              </w:rPr>
              <w:t>Event</w:t>
            </w:r>
          </w:p>
        </w:tc>
        <w:tc>
          <w:tcPr>
            <w:tcW w:type="dxa" w:w="6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412E72"/>
          </w:tcPr>
          <w:p>
            <w:r>
              <w:rPr>
                <w:b/>
                <w:color w:val="FFFFFF"/>
                <w:sz w:val="18"/>
              </w:rPr>
              <w:t>Safe properties</w:t>
            </w:r>
          </w:p>
        </w:tc>
      </w:tr>
      <w:tr>
        <w:tc>
          <w:tcPr>
            <w:tcW w:type="dxa" w:w="2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task_created</w:t>
            </w:r>
          </w:p>
        </w:tc>
        <w:tc>
          <w:tcPr>
            <w:tcW w:type="dxa" w:w="6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type, priority, deadline/estimate flags</w:t>
            </w:r>
          </w:p>
        </w:tc>
      </w:tr>
      <w:tr>
        <w:tc>
          <w:tcPr>
            <w:tcW w:type="dxa" w:w="2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task_completed</w:t>
            </w:r>
          </w:p>
        </w:tc>
        <w:tc>
          <w:tcPr>
            <w:tcW w:type="dxa" w:w="6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type, on_time and elapsed bucket</w:t>
            </w:r>
          </w:p>
        </w:tc>
      </w:tr>
      <w:tr>
        <w:tc>
          <w:tcPr>
            <w:tcW w:type="dxa" w:w="2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session_completed</w:t>
            </w:r>
          </w:p>
        </w:tc>
        <w:tc>
          <w:tcPr>
            <w:tcW w:type="dxa" w:w="6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duration bucket, linked-task flag, break taken</w:t>
            </w:r>
          </w:p>
        </w:tc>
      </w:tr>
      <w:tr>
        <w:tc>
          <w:tcPr>
            <w:tcW w:type="dxa" w:w="2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workload_evaluated</w:t>
            </w:r>
          </w:p>
        </w:tc>
        <w:tc>
          <w:tcPr>
            <w:tcW w:type="dxa" w:w="6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level, score band, strong-signal count, engine version</w:t>
            </w:r>
          </w:p>
        </w:tc>
      </w:tr>
      <w:tr>
        <w:tc>
          <w:tcPr>
            <w:tcW w:type="dxa" w:w="2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recommendation_actioned</w:t>
            </w:r>
          </w:p>
        </w:tc>
        <w:tc>
          <w:tcPr>
            <w:tcW w:type="dxa" w:w="6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type and action</w:t>
            </w:r>
          </w:p>
        </w:tc>
      </w:tr>
      <w:tr>
        <w:tc>
          <w:tcPr>
            <w:tcW w:type="dxa" w:w="2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paywall/sandbox</w:t>
            </w:r>
          </w:p>
        </w:tc>
        <w:tc>
          <w:tcPr>
            <w:tcW w:type="dxa" w:w="6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source, plan and billing period</w:t>
            </w:r>
          </w:p>
        </w:tc>
      </w:tr>
    </w:tbl>
    <w:p>
      <w:pPr>
        <w:spacing w:after="0"/>
      </w:pPr>
    </w:p>
    <w:p>
      <w:r>
        <w:t>Do not send task titles, notes or subject names to product analytics by default.</w:t>
      </w:r>
    </w:p>
    <w:p>
      <w:pPr>
        <w:pStyle w:val="Heading1"/>
      </w:pPr>
      <w:r>
        <w:t>14. Technical Direction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2200"/>
        <w:gridCol w:w="7100"/>
      </w:tblGrid>
      <w:tr>
        <w:tc>
          <w:tcPr>
            <w:tcW w:type="dxa" w:w="22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412E72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71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412E72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</w:tr>
      <w:tr>
        <w:tc>
          <w:tcPr>
            <w:tcW w:type="dxa" w:w="22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Mobile</w:t>
            </w:r>
          </w:p>
        </w:tc>
        <w:tc>
          <w:tcPr>
            <w:tcW w:type="dxa" w:w="71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React Native + Expo + TypeScript; one iPhone/Android codebase</w:t>
            </w:r>
          </w:p>
        </w:tc>
      </w:tr>
      <w:tr>
        <w:tc>
          <w:tcPr>
            <w:tcW w:type="dxa" w:w="22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Backend</w:t>
            </w:r>
          </w:p>
        </w:tc>
        <w:tc>
          <w:tcPr>
            <w:tcW w:type="dxa" w:w="71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FastAPI, typed schemas, modular services and OpenAPI</w:t>
            </w:r>
          </w:p>
        </w:tc>
      </w:tr>
      <w:tr>
        <w:tc>
          <w:tcPr>
            <w:tcW w:type="dxa" w:w="22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Data/Auth</w:t>
            </w:r>
          </w:p>
        </w:tc>
        <w:tc>
          <w:tcPr>
            <w:tcW w:type="dxa" w:w="71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Supabase Auth/PostgreSQL, migrations, constraints and RLS</w:t>
            </w:r>
          </w:p>
        </w:tc>
      </w:tr>
      <w:tr>
        <w:tc>
          <w:tcPr>
            <w:tcW w:type="dxa" w:w="22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Client</w:t>
            </w:r>
          </w:p>
        </w:tc>
        <w:tc>
          <w:tcPr>
            <w:tcW w:type="dxa" w:w="71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SecureStore, typed API, query caching and controlled state</w:t>
            </w:r>
          </w:p>
        </w:tc>
      </w:tr>
      <w:tr>
        <w:tc>
          <w:tcPr>
            <w:tcW w:type="dxa" w:w="22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Notifications</w:t>
            </w:r>
          </w:p>
        </w:tc>
        <w:tc>
          <w:tcPr>
            <w:tcW w:type="dxa" w:w="71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Expo Notifications with local/push strategy as needed</w:t>
            </w:r>
          </w:p>
        </w:tc>
      </w:tr>
      <w:tr>
        <w:tc>
          <w:tcPr>
            <w:tcW w:type="dxa" w:w="22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Engine</w:t>
            </w:r>
          </w:p>
        </w:tc>
        <w:tc>
          <w:tcPr>
            <w:tcW w:type="dxa" w:w="71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Versioned explainable rules with structured input/output</w:t>
            </w:r>
          </w:p>
        </w:tc>
      </w:tr>
      <w:tr>
        <w:tc>
          <w:tcPr>
            <w:tcW w:type="dxa" w:w="22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Subscription</w:t>
            </w:r>
          </w:p>
        </w:tc>
        <w:tc>
          <w:tcPr>
            <w:tcW w:type="dxa" w:w="71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Plan/entitlement model; sandbox first, live provider later</w:t>
            </w:r>
          </w:p>
        </w:tc>
      </w:tr>
    </w:tbl>
    <w:p>
      <w:pPr>
        <w:spacing w:after="0"/>
      </w:pPr>
    </w:p>
    <w:p>
      <w:pPr>
        <w:pStyle w:val="Heading1"/>
      </w:pPr>
      <w:r>
        <w:t>15. Non-functional and Edge Cases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2200"/>
        <w:gridCol w:w="7100"/>
      </w:tblGrid>
      <w:tr>
        <w:tc>
          <w:tcPr>
            <w:tcW w:type="dxa" w:w="22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412E72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71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412E72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2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Security</w:t>
            </w:r>
          </w:p>
        </w:tc>
        <w:tc>
          <w:tcPr>
            <w:tcW w:type="dxa" w:w="71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JWT/RLS, secure token, input validation and no committed secrets</w:t>
            </w:r>
          </w:p>
        </w:tc>
      </w:tr>
      <w:tr>
        <w:tc>
          <w:tcPr>
            <w:tcW w:type="dxa" w:w="22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Reliability</w:t>
            </w:r>
          </w:p>
        </w:tc>
        <w:tc>
          <w:tcPr>
            <w:tcW w:type="dxa" w:w="71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Recoverable errors, idempotent writes and timer recovery</w:t>
            </w:r>
          </w:p>
        </w:tc>
      </w:tr>
      <w:tr>
        <w:tc>
          <w:tcPr>
            <w:tcW w:type="dxa" w:w="22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Performance</w:t>
            </w:r>
          </w:p>
        </w:tc>
        <w:tc>
          <w:tcPr>
            <w:tcW w:type="dxa" w:w="71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Responsive normal-volume lists and efficient dashboard queries</w:t>
            </w:r>
          </w:p>
        </w:tc>
      </w:tr>
      <w:tr>
        <w:tc>
          <w:tcPr>
            <w:tcW w:type="dxa" w:w="22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Compatibility</w:t>
            </w:r>
          </w:p>
        </w:tc>
        <w:tc>
          <w:tcPr>
            <w:tcW w:type="dxa" w:w="71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Supported iOS/Android and platform-aware alerts</w:t>
            </w:r>
          </w:p>
        </w:tc>
      </w:tr>
      <w:tr>
        <w:tc>
          <w:tcPr>
            <w:tcW w:type="dxa" w:w="22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Accessibility</w:t>
            </w:r>
          </w:p>
        </w:tc>
        <w:tc>
          <w:tcPr>
            <w:tcW w:type="dxa" w:w="71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Contrast, labels, scalable text and touch targets</w:t>
            </w:r>
          </w:p>
        </w:tc>
      </w:tr>
      <w:tr>
        <w:tc>
          <w:tcPr>
            <w:tcW w:type="dxa" w:w="22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Time</w:t>
            </w:r>
          </w:p>
        </w:tc>
        <w:tc>
          <w:tcPr>
            <w:tcW w:type="dxa" w:w="71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UTC storage and documented user-timezone display</w:t>
            </w:r>
          </w:p>
        </w:tc>
      </w:tr>
      <w:tr>
        <w:tc>
          <w:tcPr>
            <w:tcW w:type="dxa" w:w="22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Edge cases</w:t>
            </w:r>
          </w:p>
        </w:tc>
        <w:tc>
          <w:tcPr>
            <w:tcW w:type="dxa" w:w="71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Offline save, missing estimate, duplicate request, permission denied, downgrade</w:t>
            </w:r>
          </w:p>
        </w:tc>
      </w:tr>
    </w:tbl>
    <w:p>
      <w:pPr>
        <w:spacing w:after="0"/>
      </w:pPr>
    </w:p>
    <w:p>
      <w:pPr>
        <w:pStyle w:val="Heading1"/>
      </w:pPr>
      <w:r>
        <w:t>16. Product Acceptance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1100"/>
        <w:gridCol w:w="8200"/>
      </w:tblGrid>
      <w:tr>
        <w:tc>
          <w:tcPr>
            <w:tcW w:type="dxa" w:w="11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412E72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82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412E72"/>
          </w:tcPr>
          <w:p>
            <w:r>
              <w:rPr>
                <w:b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11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P1</w:t>
            </w:r>
          </w:p>
        </w:tc>
        <w:tc>
          <w:tcPr>
            <w:tcW w:type="dxa" w:w="82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Auth/session and two-account isolation work.</w:t>
            </w:r>
          </w:p>
        </w:tc>
      </w:tr>
      <w:tr>
        <w:tc>
          <w:tcPr>
            <w:tcW w:type="dxa" w:w="11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P2</w:t>
            </w:r>
          </w:p>
        </w:tc>
        <w:tc>
          <w:tcPr>
            <w:tcW w:type="dxa" w:w="82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Task CRUD persists after restart.</w:t>
            </w:r>
          </w:p>
        </w:tc>
      </w:tr>
      <w:tr>
        <w:tc>
          <w:tcPr>
            <w:tcW w:type="dxa" w:w="11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P3</w:t>
            </w:r>
          </w:p>
        </w:tc>
        <w:tc>
          <w:tcPr>
            <w:tcW w:type="dxa" w:w="82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Calendar/planner/timer journey works on phone.</w:t>
            </w:r>
          </w:p>
        </w:tc>
      </w:tr>
      <w:tr>
        <w:tc>
          <w:tcPr>
            <w:tcW w:type="dxa" w:w="11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P4</w:t>
            </w:r>
          </w:p>
        </w:tc>
        <w:tc>
          <w:tcPr>
            <w:tcW w:type="dxa" w:w="82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Controlled Low/High scenarios produce explained output and safety gate.</w:t>
            </w:r>
          </w:p>
        </w:tc>
      </w:tr>
      <w:tr>
        <w:tc>
          <w:tcPr>
            <w:tcW w:type="dxa" w:w="11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P5</w:t>
            </w:r>
          </w:p>
        </w:tc>
        <w:tc>
          <w:tcPr>
            <w:tcW w:type="dxa" w:w="82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Priority/split/reschedule/break actions work.</w:t>
            </w:r>
          </w:p>
        </w:tc>
      </w:tr>
      <w:tr>
        <w:tc>
          <w:tcPr>
            <w:tcW w:type="dxa" w:w="11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P6</w:t>
            </w:r>
          </w:p>
        </w:tc>
        <w:tc>
          <w:tcPr>
            <w:tcW w:type="dxa" w:w="82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Supported device demonstrates actual notification behaviour.</w:t>
            </w:r>
          </w:p>
        </w:tc>
      </w:tr>
      <w:tr>
        <w:tc>
          <w:tcPr>
            <w:tcW w:type="dxa" w:w="11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P7</w:t>
            </w:r>
          </w:p>
        </w:tc>
        <w:tc>
          <w:tcPr>
            <w:tcW w:type="dxa" w:w="82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Dashboard totals reconcile.</w:t>
            </w:r>
          </w:p>
        </w:tc>
      </w:tr>
      <w:tr>
        <w:tc>
          <w:tcPr>
            <w:tcW w:type="dxa" w:w="11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P8</w:t>
            </w:r>
          </w:p>
        </w:tc>
        <w:tc>
          <w:tcPr>
            <w:tcW w:type="dxa" w:w="82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Sandbox upgrade changes entitlement without payment data.</w:t>
            </w:r>
          </w:p>
        </w:tc>
      </w:tr>
      <w:tr>
        <w:tc>
          <w:tcPr>
            <w:tcW w:type="dxa" w:w="11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P9</w:t>
            </w:r>
          </w:p>
        </w:tc>
        <w:tc>
          <w:tcPr>
            <w:tcW w:type="dxa" w:w="82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Typecheck, lint, tests and migration/config checks pass.</w:t>
            </w:r>
          </w:p>
        </w:tc>
      </w:tr>
      <w:tr>
        <w:tc>
          <w:tcPr>
            <w:tcW w:type="dxa" w:w="11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P10</w:t>
            </w:r>
          </w:p>
        </w:tc>
        <w:tc>
          <w:tcPr>
            <w:tcW w:type="dxa" w:w="82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Limitations and future live-payment work are documented.</w:t>
            </w:r>
          </w:p>
        </w:tc>
      </w:tr>
    </w:tbl>
    <w:p>
      <w:pPr>
        <w:spacing w:after="0"/>
      </w:pPr>
    </w:p>
    <w:p>
      <w:pPr>
        <w:pStyle w:val="Heading1"/>
      </w:pPr>
      <w:r>
        <w:t>17. Delivery Phases and Definition of Done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1500"/>
        <w:gridCol w:w="7800"/>
      </w:tblGrid>
      <w:tr>
        <w:tc>
          <w:tcPr>
            <w:tcW w:type="dxa" w:w="15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412E72"/>
          </w:tcPr>
          <w:p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7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412E72"/>
          </w:tcPr>
          <w:p>
            <w:r>
              <w:rPr>
                <w:b/>
                <w:color w:val="FFFFFF"/>
                <w:sz w:val="18"/>
              </w:rPr>
              <w:t>Deliverable</w:t>
            </w:r>
          </w:p>
        </w:tc>
      </w:tr>
      <w:tr>
        <w:tc>
          <w:tcPr>
            <w:tcW w:type="dxa" w:w="15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7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Planning, architecture, flows, wireframes and traceability</w:t>
            </w:r>
          </w:p>
        </w:tc>
      </w:tr>
      <w:tr>
        <w:tc>
          <w:tcPr>
            <w:tcW w:type="dxa" w:w="15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7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Mobile/backend foundation and checks</w:t>
            </w:r>
          </w:p>
        </w:tc>
      </w:tr>
      <w:tr>
        <w:tc>
          <w:tcPr>
            <w:tcW w:type="dxa" w:w="15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7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Auth, database and ownership</w:t>
            </w:r>
          </w:p>
        </w:tc>
      </w:tr>
      <w:tr>
        <w:tc>
          <w:tcPr>
            <w:tcW w:type="dxa" w:w="15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type="dxa" w:w="7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Subjects/tasks and Today</w:t>
            </w:r>
          </w:p>
        </w:tc>
      </w:tr>
      <w:tr>
        <w:tc>
          <w:tcPr>
            <w:tcW w:type="dxa" w:w="15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type="dxa" w:w="7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Planner, focus and sessions</w:t>
            </w:r>
          </w:p>
        </w:tc>
      </w:tr>
      <w:tr>
        <w:tc>
          <w:tcPr>
            <w:tcW w:type="dxa" w:w="15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type="dxa" w:w="7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Workload engine and recommendations</w:t>
            </w:r>
          </w:p>
        </w:tc>
      </w:tr>
      <w:tr>
        <w:tc>
          <w:tcPr>
            <w:tcW w:type="dxa" w:w="15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7</w:t>
            </w:r>
          </w:p>
        </w:tc>
        <w:tc>
          <w:tcPr>
            <w:tcW w:type="dxa" w:w="7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Alerts and physical-device evidence</w:t>
            </w:r>
          </w:p>
        </w:tc>
      </w:tr>
      <w:tr>
        <w:tc>
          <w:tcPr>
            <w:tcW w:type="dxa" w:w="15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type="dxa" w:w="7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Insights/BI and reconciliation</w:t>
            </w:r>
          </w:p>
        </w:tc>
      </w:tr>
      <w:tr>
        <w:tc>
          <w:tcPr>
            <w:tcW w:type="dxa" w:w="15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9</w:t>
            </w:r>
          </w:p>
        </w:tc>
        <w:tc>
          <w:tcPr>
            <w:tcW w:type="dxa" w:w="7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Plans, entitlements and sandbox upgrade</w:t>
            </w:r>
          </w:p>
        </w:tc>
      </w:tr>
      <w:tr>
        <w:tc>
          <w:tcPr>
            <w:tcW w:type="dxa" w:w="15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10</w:t>
            </w:r>
          </w:p>
        </w:tc>
        <w:tc>
          <w:tcPr>
            <w:tcW w:type="dxa" w:w="7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Integration, accessibility, security and handoff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9300"/>
      </w:tblGrid>
      <w:tr>
        <w:tc>
          <w:tcPr>
            <w:tcW w:type="dxa" w:w="93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1EEFF"/>
          </w:tcPr>
          <w:p>
            <w:pPr>
              <w:spacing w:after="0"/>
            </w:pPr>
            <w:r>
              <w:rPr>
                <w:b/>
                <w:color w:val="412E72"/>
              </w:rPr>
              <w:t xml:space="preserve">Product DoD: </w:t>
            </w:r>
            <w:r>
              <w:t>Implementation is integrated; automated and manual tests pass; data persists and metrics reconcile; security/entitlements are verified; errors are handled; device-dependent status is honest; and known limitations are documented.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08" w:left="1181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6"/>
      </w:rPr>
      <w:t xml:space="preserve">Studora Startup Project  |  July 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667085"/>
        <w:sz w:val="16"/>
      </w:rPr>
      <w:t>STUDORA  |  PRD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9" w:lineRule="auto"/>
    </w:pPr>
    <w:rPr>
      <w:rFonts w:ascii="Calibri" w:hAnsi="Calibri"/>
      <w:color w:val="2531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412E7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087F8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20"/>
      <w:outlineLvl w:val="2"/>
    </w:pPr>
    <w:rPr>
      <w:rFonts w:asciiTheme="majorHAnsi" w:eastAsiaTheme="majorEastAsia" w:hAnsiTheme="majorHAnsi" w:cstheme="majorBidi" w:ascii="Calibri" w:hAnsi="Calibri"/>
      <w:b/>
      <w:bCs/>
      <w:color w:val="25313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412E72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40"/>
    </w:pPr>
    <w:rPr>
      <w:rFonts w:asciiTheme="majorHAnsi" w:eastAsiaTheme="majorEastAsia" w:hAnsiTheme="majorHAnsi" w:cstheme="majorBidi" w:ascii="Calibri" w:hAnsi="Calibri"/>
      <w:b w:val="0"/>
      <w:i/>
      <w:iCs/>
      <w:color w:val="66708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52" w:lineRule="auto"/>
      <w:ind w:left="403" w:hanging="23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52" w:lineRule="auto"/>
      <w:ind w:left="403" w:hanging="23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