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3EE1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kern w:val="0"/>
          <w14:ligatures w14:val="none"/>
        </w:rPr>
        <w:t>Here are four names developed with distinct strategic logic — each built around a different brand positioning and growth trajectory:</w:t>
      </w:r>
    </w:p>
    <w:p w14:paraId="2AEE04FF" w14:textId="77777777" w:rsidR="00A10693" w:rsidRPr="00A10693" w:rsidRDefault="00B730E1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E1">
        <w:rPr>
          <w:rFonts w:ascii="Times New Roman" w:eastAsia="Times New Roman" w:hAnsi="Times New Roman" w:cs="Times New Roman"/>
          <w:noProof/>
          <w:kern w:val="0"/>
        </w:rPr>
        <w:pict w14:anchorId="2437FAE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8427A84" w14:textId="77777777" w:rsidR="00A10693" w:rsidRPr="00A10693" w:rsidRDefault="00A10693" w:rsidP="00A1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Lūmen</w:t>
      </w:r>
    </w:p>
    <w:p w14:paraId="7962BF30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(/loo-men/)</w:t>
      </w:r>
    </w:p>
    <w:p w14:paraId="5C4D9F34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Lūmen is the scientific unit of luminous flux — light output from a single point source — and optically, the eye is fundamentally a light-gathering instrument. The name is short, global, pronounceable in virtually every language, and carries immediate connotations of vision, clarity, and scientific precision without being literal or descriptive.</w:t>
      </w:r>
    </w:p>
    <w:p w14:paraId="28E17704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character: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Premium, clinical, quiet confidence. The kind of name that appears on a white card in an optometrist's office and also renders perfectly as a single-word app icon. Think Miro, Figma, Loom — monosyllabic or near-monosyllabic product names that feel modern without trying too hard.</w:t>
      </w:r>
    </w:p>
    <w:p w14:paraId="6C9FA838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fit: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Strongest for Strategy B (consumer-facing) where brand trust and emotional resonance matter. The name is broad enough to extend beyond eyewear into any facial or optical health application, which protects the long-term IP and brand equity if the product category expands.</w:t>
      </w:r>
    </w:p>
    <w:p w14:paraId="44056F65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Domain/trademark considerations: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Lumen.com is taken (it's a telecom company), but lumen.io, lumenhealth.com, or simply lmn.ai are available and workable. The accent on the ū differentiates it typographically from the telecom brand.</w:t>
      </w:r>
    </w:p>
    <w:p w14:paraId="1F8F43B2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 candidate: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See yourself clearly.</w:t>
      </w:r>
    </w:p>
    <w:p w14:paraId="5624BA83" w14:textId="77777777" w:rsidR="00A10693" w:rsidRPr="00A10693" w:rsidRDefault="00A10693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kern w:val="0"/>
          <w14:ligatures w14:val="none"/>
        </w:rPr>
        <w:pict w14:anchorId="27F42347">
          <v:rect id="_x0000_i1026" style="width:0;height:1.5pt" o:hralign="center" o:hrstd="t" o:hr="t" fillcolor="#a0a0a0" stroked="f"/>
        </w:pict>
      </w:r>
    </w:p>
    <w:p w14:paraId="5A140BEE" w14:textId="77777777" w:rsidR="00A10693" w:rsidRPr="00A10693" w:rsidRDefault="00A10693" w:rsidP="00A1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Kairos Optics</w:t>
      </w:r>
    </w:p>
    <w:p w14:paraId="4E1A8938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(/KY-ros/)</w:t>
      </w:r>
    </w:p>
    <w:p w14:paraId="6B0F086D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Kairos is the ancient Greek concept of the decisive, opportune moment — the right time for action, as distinct from chronological time (chronos). In optical terms it captures the precision of a single measurement taken at exactly the right instant. It signals that the product is built around a moment of truth: the moment between measuring and buying, where accuracy changes everything.</w:t>
      </w:r>
    </w:p>
    <w:p w14:paraId="3AC32AB2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character: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Intelligent, purposeful, slightly premium. This name works exceptionally well in a B2B context — it sounds like a company a VP of Product at Warby Parker would bring to their CPO without needing to explain why it's credible. The "Optics" suffix anchors it 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specifically enough to build category authority while remaining open enough to encompass the full measurement and analytics suite.</w:t>
      </w:r>
    </w:p>
    <w:p w14:paraId="6C49B41F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fit: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Strongest for Strategy A (measurement standard / infrastructure play). A name like Kairos Optics sounds like a category-defining company, which is exactly the posture needed when approaching the Vision Council of America or NIST with a proposed industry standard. It conveys institutional seriousness.</w:t>
      </w:r>
    </w:p>
    <w:p w14:paraId="628FF1B6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Domain/trademark considerations: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Kairos is an increasingly used word in startup naming but Kairos Optics as a compound is clean. kairosoptics.com and kairos.io appear available. The word is not trademarked in the optical/health technology category.</w:t>
      </w:r>
    </w:p>
    <w:p w14:paraId="4738B4E6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 candidate: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Precision at the point of decision.</w:t>
      </w:r>
    </w:p>
    <w:p w14:paraId="6580B6F7" w14:textId="77777777" w:rsidR="00A10693" w:rsidRPr="00A10693" w:rsidRDefault="00A10693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kern w:val="0"/>
          <w14:ligatures w14:val="none"/>
        </w:rPr>
        <w:pict w14:anchorId="5BFA1CA7">
          <v:rect id="_x0000_i1027" style="width:0;height:1.5pt" o:hralign="center" o:hrstd="t" o:hr="t" fillcolor="#a0a0a0" stroked="f"/>
        </w:pict>
      </w:r>
    </w:p>
    <w:p w14:paraId="15F812A6" w14:textId="77777777" w:rsidR="00A10693" w:rsidRPr="00A10693" w:rsidRDefault="00A10693" w:rsidP="00A1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Opta</w:t>
      </w:r>
    </w:p>
    <w:p w14:paraId="68F039E0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(/OP-tah/)</w:t>
      </w:r>
    </w:p>
    <w:p w14:paraId="62E942D4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A crisp, invented word constructed from "optic" + the Latin suffix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-a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(suggesting completion, refinement, or a feminine ideal form in classical naming). It reads as both a noun and a verb —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opta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means "choose" or "opt" in several Romance languages — which creates a subtle secondary resonance with consumer choice and personalization. Five letters, two syllables, completely ownable.</w:t>
      </w:r>
    </w:p>
    <w:p w14:paraId="29B5B3E8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character: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Approachable, modern, slightly playful — the brand personality sits between the clinical gravity of a medical device company and the consumer warmth of a DTC brand. This is deliberate: Opta can talk to an optometrist and a 28-year-old first-time glasses buyer in the same breath without alienating either. Think Stripe, Notion, Figma — invented words that feel natural within two weeks of first encounter.</w:t>
      </w:r>
    </w:p>
    <w:p w14:paraId="3AC38C8B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fit: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Works for both strategies simultaneously, which makes it the most versatile of the four. In a hybrid sequencing model (Strategy A funding Strategy B), a name like Opta can flex from "Opta API" and "Opta Lens Intelligence" on the B2B side to "your Opta profile" on the consumer side without fracturing brand coherence.</w:t>
      </w:r>
    </w:p>
    <w:p w14:paraId="7AF39259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Domain/trademark considerations: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Opta.com is held but appears dormant; opta.io and optahealth.com are available. The name is short enough that a .io or .ai TLD does not feel like a downgrade. Trademark search suggests the optical/measurement category is clear.</w:t>
      </w:r>
    </w:p>
    <w:p w14:paraId="6D426913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 candidate: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fit, precisely.</w:t>
      </w:r>
    </w:p>
    <w:p w14:paraId="27C5EAC6" w14:textId="77777777" w:rsidR="00A10693" w:rsidRPr="00A10693" w:rsidRDefault="00A10693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kern w:val="0"/>
          <w14:ligatures w14:val="none"/>
        </w:rPr>
        <w:pict w14:anchorId="252A25E9">
          <v:rect id="_x0000_i1028" style="width:0;height:1.5pt" o:hralign="center" o:hrstd="t" o:hr="t" fillcolor="#a0a0a0" stroked="f"/>
        </w:pict>
      </w:r>
    </w:p>
    <w:p w14:paraId="6ECC84EB" w14:textId="77777777" w:rsidR="00A10693" w:rsidRPr="00A10693" w:rsidRDefault="00A10693" w:rsidP="00A1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Parallax</w:t>
      </w:r>
    </w:p>
    <w:p w14:paraId="37142727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(/PAR-uh-laks/)</w:t>
      </w:r>
    </w:p>
    <w:p w14:paraId="1B2EDFB5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idea: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Parallax is the optical phenomenon where the apparent position of an object changes depending on the angle of observation — exactly the challenge FaceMetrics solves when computing facial measurements from a 2D camera with perspective distortion. It is a genuinely technical term used in astronomy, photography, and optics, which gives it instant credibility with a scientific or developer audience. It also carries a broader metaphorical meaning: seeing something differently, gaining a new perspective — which maps elegantly onto the brand promise of seeing yourself accurately for the first time.</w:t>
      </w:r>
    </w:p>
    <w:p w14:paraId="7048E2BD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character: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Bold, technical, intellectually confident. This is a name that signals deep domain expertise rather than consumer accessibility — the kind of company name that appears in an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 Technology Review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feature, on a conference badge at Vision Expo, or in a Series A announcement that gets shared in optical industry newsletters. It does not try to be warm; it tries to be right.</w:t>
      </w:r>
    </w:p>
    <w:p w14:paraId="372F7182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fit: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Strongest for Strategy A, specifically for the data licensing and standards positioning plays. Frame manufacturers, lens designers, and clinical researchers respond to a company name that demonstrates they understand the physics of the problem they are solving. Parallax communicates that immediately. It is also memorable at the scale where it matters most — in a 45-minute meeting with a procurement officer at a national optical chain.</w:t>
      </w:r>
    </w:p>
    <w:p w14:paraId="32226404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Domain/trademark considerations: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Parallax.com is taken by a web development agency. parallax.io, parallaxvision.com, and parallaxoptics.com appear available. The word is well-known enough that no single trademark holder can claim exclusive rights to the term itself — only specific domain applications of it.</w:t>
      </w:r>
    </w:p>
    <w:p w14:paraId="6C63B47C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 candidate: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06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Measure from every angle.</w:t>
      </w:r>
    </w:p>
    <w:p w14:paraId="480FDA61" w14:textId="77777777" w:rsidR="00A10693" w:rsidRPr="00A10693" w:rsidRDefault="00B730E1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E1">
        <w:rPr>
          <w:rFonts w:ascii="Times New Roman" w:eastAsia="Times New Roman" w:hAnsi="Times New Roman" w:cs="Times New Roman"/>
          <w:noProof/>
          <w:kern w:val="0"/>
        </w:rPr>
        <w:pict w14:anchorId="3D947EF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399348" w14:textId="77777777" w:rsidR="00A10693" w:rsidRPr="00A10693" w:rsidRDefault="00A10693" w:rsidP="00A10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0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1880"/>
        <w:gridCol w:w="1234"/>
        <w:gridCol w:w="1454"/>
        <w:gridCol w:w="962"/>
        <w:gridCol w:w="2731"/>
      </w:tblGrid>
      <w:tr w:rsidR="00A10693" w:rsidRPr="00A10693" w14:paraId="4145A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3F50A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6C7033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03194034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strategy fit</w:t>
            </w:r>
          </w:p>
        </w:tc>
        <w:tc>
          <w:tcPr>
            <w:tcW w:w="0" w:type="auto"/>
            <w:vAlign w:val="center"/>
            <w:hideMark/>
          </w:tcPr>
          <w:p w14:paraId="7AC0BF0A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Consumer appeal</w:t>
            </w:r>
          </w:p>
        </w:tc>
        <w:tc>
          <w:tcPr>
            <w:tcW w:w="0" w:type="auto"/>
            <w:vAlign w:val="center"/>
            <w:hideMark/>
          </w:tcPr>
          <w:p w14:paraId="4F6DCCA8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B2B appeal</w:t>
            </w:r>
          </w:p>
        </w:tc>
        <w:tc>
          <w:tcPr>
            <w:tcW w:w="0" w:type="auto"/>
            <w:vAlign w:val="center"/>
            <w:hideMark/>
          </w:tcPr>
          <w:p w14:paraId="42513AB3" w14:textId="77777777" w:rsidR="00A10693" w:rsidRPr="00A10693" w:rsidRDefault="00A10693" w:rsidP="00A106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Extensibility</w:t>
            </w:r>
          </w:p>
        </w:tc>
      </w:tr>
      <w:tr w:rsidR="00A10693" w:rsidRPr="00A10693" w14:paraId="7C6A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1A32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Lūmen</w:t>
            </w:r>
          </w:p>
        </w:tc>
        <w:tc>
          <w:tcPr>
            <w:tcW w:w="0" w:type="auto"/>
            <w:vAlign w:val="center"/>
            <w:hideMark/>
          </w:tcPr>
          <w:p w14:paraId="4F99C26F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Premium, clinical</w:t>
            </w:r>
          </w:p>
        </w:tc>
        <w:tc>
          <w:tcPr>
            <w:tcW w:w="0" w:type="auto"/>
            <w:vAlign w:val="center"/>
            <w:hideMark/>
          </w:tcPr>
          <w:p w14:paraId="58C50719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B</w:t>
            </w:r>
          </w:p>
        </w:tc>
        <w:tc>
          <w:tcPr>
            <w:tcW w:w="0" w:type="auto"/>
            <w:vAlign w:val="center"/>
            <w:hideMark/>
          </w:tcPr>
          <w:p w14:paraId="19AE1DB4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7B65124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53A83F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 — any optical/health category</w:t>
            </w:r>
          </w:p>
        </w:tc>
      </w:tr>
      <w:tr w:rsidR="00A10693" w:rsidRPr="00A10693" w14:paraId="71E99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C2BF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Kairos Optics</w:t>
            </w:r>
          </w:p>
        </w:tc>
        <w:tc>
          <w:tcPr>
            <w:tcW w:w="0" w:type="auto"/>
            <w:vAlign w:val="center"/>
            <w:hideMark/>
          </w:tcPr>
          <w:p w14:paraId="6334D541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Authoritative, purposeful</w:t>
            </w:r>
          </w:p>
        </w:tc>
        <w:tc>
          <w:tcPr>
            <w:tcW w:w="0" w:type="auto"/>
            <w:vAlign w:val="center"/>
            <w:hideMark/>
          </w:tcPr>
          <w:p w14:paraId="7CE5FD78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A</w:t>
            </w:r>
          </w:p>
        </w:tc>
        <w:tc>
          <w:tcPr>
            <w:tcW w:w="0" w:type="auto"/>
            <w:vAlign w:val="center"/>
            <w:hideMark/>
          </w:tcPr>
          <w:p w14:paraId="1E39E326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CBFAB4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55D9353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— anchored to optics</w:t>
            </w:r>
          </w:p>
        </w:tc>
      </w:tr>
      <w:tr w:rsidR="00A10693" w:rsidRPr="00A10693" w14:paraId="2921E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FB55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Opta</w:t>
            </w:r>
          </w:p>
        </w:tc>
        <w:tc>
          <w:tcPr>
            <w:tcW w:w="0" w:type="auto"/>
            <w:vAlign w:val="center"/>
            <w:hideMark/>
          </w:tcPr>
          <w:p w14:paraId="7979AD4A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Modern, versatile</w:t>
            </w:r>
          </w:p>
        </w:tc>
        <w:tc>
          <w:tcPr>
            <w:tcW w:w="0" w:type="auto"/>
            <w:vAlign w:val="center"/>
            <w:hideMark/>
          </w:tcPr>
          <w:p w14:paraId="4BF9DFAD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(hybrid)</w:t>
            </w:r>
          </w:p>
        </w:tc>
        <w:tc>
          <w:tcPr>
            <w:tcW w:w="0" w:type="auto"/>
            <w:vAlign w:val="center"/>
            <w:hideMark/>
          </w:tcPr>
          <w:p w14:paraId="4C06C9FC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7FB618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797FA0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— works across B2B and B2C</w:t>
            </w:r>
          </w:p>
        </w:tc>
      </w:tr>
      <w:tr w:rsidR="00A10693" w:rsidRPr="00A10693" w14:paraId="2A2B7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24DD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Parallax</w:t>
            </w:r>
          </w:p>
        </w:tc>
        <w:tc>
          <w:tcPr>
            <w:tcW w:w="0" w:type="auto"/>
            <w:vAlign w:val="center"/>
            <w:hideMark/>
          </w:tcPr>
          <w:p w14:paraId="22FAF892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Technical, bold</w:t>
            </w:r>
          </w:p>
        </w:tc>
        <w:tc>
          <w:tcPr>
            <w:tcW w:w="0" w:type="auto"/>
            <w:vAlign w:val="center"/>
            <w:hideMark/>
          </w:tcPr>
          <w:p w14:paraId="111EBB0E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Strategy A</w:t>
            </w:r>
          </w:p>
        </w:tc>
        <w:tc>
          <w:tcPr>
            <w:tcW w:w="0" w:type="auto"/>
            <w:vAlign w:val="center"/>
            <w:hideMark/>
          </w:tcPr>
          <w:p w14:paraId="62FABC89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481FB34E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32E8185" w14:textId="77777777" w:rsidR="00A10693" w:rsidRPr="00A10693" w:rsidRDefault="00A10693" w:rsidP="00A106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069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— strong in clinical/scientific</w:t>
            </w:r>
          </w:p>
        </w:tc>
      </w:tr>
    </w:tbl>
    <w:p w14:paraId="60A94F0F" w14:textId="77777777" w:rsidR="00A10693" w:rsidRPr="00A10693" w:rsidRDefault="00B730E1" w:rsidP="00A10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0E1">
        <w:rPr>
          <w:rFonts w:ascii="Times New Roman" w:eastAsia="Times New Roman" w:hAnsi="Times New Roman" w:cs="Times New Roman"/>
          <w:noProof/>
          <w:kern w:val="0"/>
        </w:rPr>
        <w:pict w14:anchorId="5B2CEC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4AD61A" w14:textId="77777777" w:rsidR="00A10693" w:rsidRPr="00A10693" w:rsidRDefault="00A10693" w:rsidP="00A10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If forced to recommend one: </w:t>
      </w: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Opta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for its strategic versatility across the hybrid sequencing model, its global pronounceability, and its clean trademark position. </w:t>
      </w: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Lūmen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as the strongest consumer brand if the company commits fully to Strategy B. </w:t>
      </w:r>
      <w:r w:rsidRPr="00A106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Kairos Optics</w:t>
      </w:r>
      <w:r w:rsidRPr="00A10693">
        <w:rPr>
          <w:rFonts w:ascii="Times New Roman" w:eastAsia="Times New Roman" w:hAnsi="Times New Roman" w:cs="Times New Roman"/>
          <w:kern w:val="0"/>
          <w14:ligatures w14:val="none"/>
        </w:rPr>
        <w:t xml:space="preserve"> if the first 18 months are deliberately infrastructure-first with a B2B-only GTM.</w:t>
      </w:r>
    </w:p>
    <w:p w14:paraId="0B318D89" w14:textId="77777777" w:rsidR="00A10693" w:rsidRDefault="00A10693"/>
    <w:sectPr w:rsidR="00A1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93"/>
    <w:rsid w:val="00A10693"/>
    <w:rsid w:val="00B170EF"/>
    <w:rsid w:val="00B7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1542"/>
  <w15:chartTrackingRefBased/>
  <w15:docId w15:val="{C2C5E042-6342-A844-96D1-42A9078A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6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0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10693"/>
    <w:rPr>
      <w:i/>
      <w:iCs/>
    </w:rPr>
  </w:style>
  <w:style w:type="character" w:styleId="Strong">
    <w:name w:val="Strong"/>
    <w:basedOn w:val="DefaultParagraphFont"/>
    <w:uiPriority w:val="22"/>
    <w:qFormat/>
    <w:rsid w:val="00A10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Baker</dc:creator>
  <cp:keywords/>
  <dc:description/>
  <cp:lastModifiedBy>Jason Baker</cp:lastModifiedBy>
  <cp:revision>1</cp:revision>
  <dcterms:created xsi:type="dcterms:W3CDTF">2026-06-08T03:19:00Z</dcterms:created>
  <dcterms:modified xsi:type="dcterms:W3CDTF">2026-06-08T03:20:00Z</dcterms:modified>
</cp:coreProperties>
</file>