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7DF9A"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Great question — given FaceMetrics is an API-first measurement platform sitting at the intersection of computer vision, eyewear, and telehealth, here are the three most strategically compelling paths:</w:t>
      </w:r>
    </w:p>
    <w:p w14:paraId="0609B7C5" w14:textId="77777777" w:rsidR="003E307C" w:rsidRPr="003E307C" w:rsidRDefault="009D55B4" w:rsidP="003E307C">
      <w:pPr>
        <w:spacing w:after="0" w:line="240" w:lineRule="auto"/>
        <w:rPr>
          <w:rFonts w:ascii="Times New Roman" w:eastAsia="Times New Roman" w:hAnsi="Times New Roman" w:cs="Times New Roman"/>
          <w:kern w:val="0"/>
          <w14:ligatures w14:val="none"/>
        </w:rPr>
      </w:pPr>
      <w:r>
        <w:rPr>
          <w:noProof/>
        </w:rPr>
      </w:r>
      <w:r>
        <w:pict w14:anchorId="3C9BAC7F">
          <v:rect id="Horizontal Line 11"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DBA31C"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1. Platform / Infrastructure Play ("Stripe for Eyewear Measurement")</w:t>
      </w:r>
    </w:p>
    <w:p w14:paraId="2E0D4FE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The bet:</w:t>
      </w:r>
      <w:r w:rsidRPr="003E307C">
        <w:rPr>
          <w:rFonts w:ascii="Times New Roman" w:eastAsia="Times New Roman" w:hAnsi="Times New Roman" w:cs="Times New Roman"/>
          <w:kern w:val="0"/>
          <w14:ligatures w14:val="none"/>
        </w:rPr>
        <w:t xml:space="preserve"> Become the invisible measurement layer that every online eyewear brand, EHR, and virtual try-on platform plugs into — the way Stripe is invisible but essential to e-commerce.</w:t>
      </w:r>
    </w:p>
    <w:p w14:paraId="4FBED783"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How it works:</w:t>
      </w:r>
    </w:p>
    <w:p w14:paraId="675E95D4" w14:textId="77777777" w:rsidR="003E307C" w:rsidRPr="003E307C" w:rsidRDefault="003E307C" w:rsidP="003E30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Freemium API onboards developers and small brands at zero cost</w:t>
      </w:r>
    </w:p>
    <w:p w14:paraId="32A6CCAB" w14:textId="77777777" w:rsidR="003E307C" w:rsidRPr="003E307C" w:rsidRDefault="003E307C" w:rsidP="003E30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Revenue scales with session volume — every glasses sale online that uses FaceMetrics generates a micro-transaction</w:t>
      </w:r>
    </w:p>
    <w:p w14:paraId="4406901E" w14:textId="77777777" w:rsidR="003E307C" w:rsidRPr="003E307C" w:rsidRDefault="003E307C" w:rsidP="003E30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White-label widget means the brand sees FaceMetrics as infrastructure, not competition</w:t>
      </w:r>
    </w:p>
    <w:p w14:paraId="4AD39A20" w14:textId="77777777" w:rsidR="003E307C" w:rsidRPr="003E307C" w:rsidRDefault="003E307C" w:rsidP="003E307C">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Network effects kick in as measurement data (anonymized, aggregated) improves model accuracy over time, making the platform harder to replicate</w:t>
      </w:r>
    </w:p>
    <w:p w14:paraId="32CCA58D"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Why it wins:</w:t>
      </w:r>
      <w:r w:rsidRPr="003E307C">
        <w:rPr>
          <w:rFonts w:ascii="Times New Roman" w:eastAsia="Times New Roman" w:hAnsi="Times New Roman" w:cs="Times New Roman"/>
          <w:kern w:val="0"/>
          <w14:ligatures w14:val="none"/>
        </w:rPr>
        <w:t xml:space="preserve"> The $147B eyewear market is highly fragmented. No single brand dominates online enough to build this themselves. A neutral third-party infrastructure provider is the natural outcome — and first-mover advantage is durable once integrations are embedded.</w:t>
      </w:r>
    </w:p>
    <w:p w14:paraId="6FF7E996"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Key risk:</w:t>
      </w:r>
      <w:r w:rsidRPr="003E307C">
        <w:rPr>
          <w:rFonts w:ascii="Times New Roman" w:eastAsia="Times New Roman" w:hAnsi="Times New Roman" w:cs="Times New Roman"/>
          <w:kern w:val="0"/>
          <w14:ligatures w14:val="none"/>
        </w:rPr>
        <w:t xml:space="preserve"> Requires patience. Revenue is low per transaction and growth depends on API adoption velocity. A major player (Warby Parker, EssilorLuxottica) could build internally or acquire a competitor.</w:t>
      </w:r>
    </w:p>
    <w:p w14:paraId="14C917C1" w14:textId="77777777" w:rsidR="003E307C" w:rsidRPr="003E307C" w:rsidRDefault="009D55B4" w:rsidP="003E307C">
      <w:pPr>
        <w:spacing w:after="0" w:line="240" w:lineRule="auto"/>
        <w:rPr>
          <w:rFonts w:ascii="Times New Roman" w:eastAsia="Times New Roman" w:hAnsi="Times New Roman" w:cs="Times New Roman"/>
          <w:kern w:val="0"/>
          <w14:ligatures w14:val="none"/>
        </w:rPr>
      </w:pPr>
      <w:r>
        <w:rPr>
          <w:noProof/>
        </w:rPr>
      </w:r>
      <w:r>
        <w:pict w14:anchorId="4B2DFB01">
          <v:rect id="Horizontal Line 12"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1A10F20"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2. B2B2C Vertical SaaS — Own the Optical Retail Stack</w:t>
      </w:r>
    </w:p>
    <w:p w14:paraId="1ACDE118"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The bet:</w:t>
      </w:r>
      <w:r w:rsidRPr="003E307C">
        <w:rPr>
          <w:rFonts w:ascii="Times New Roman" w:eastAsia="Times New Roman" w:hAnsi="Times New Roman" w:cs="Times New Roman"/>
          <w:kern w:val="0"/>
          <w14:ligatures w14:val="none"/>
        </w:rPr>
        <w:t xml:space="preserve"> Go deep into optical retail chains and independent opticians as a full workflow tool, not just an API. Replace the pupillometer, the manual measurement card, and the EHR entry in one product.</w:t>
      </w:r>
    </w:p>
    <w:p w14:paraId="67411E79"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How it works:</w:t>
      </w:r>
    </w:p>
    <w:p w14:paraId="483AFB9C"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Sell directly to optical chains (Visionworks, America's Best, regional independents) as a subscription per location</w:t>
      </w:r>
    </w:p>
    <w:p w14:paraId="19D36445"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Bundle measurement with frame recommendation, Rx input, and CMMS/EHR integration (Epic, Athena)</w:t>
      </w:r>
    </w:p>
    <w:p w14:paraId="5DBA6150"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In-store kiosk mode + telehealth remote consultation mode on one platform</w:t>
      </w:r>
    </w:p>
    <w:p w14:paraId="52342762"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HIPAA BAA and SOC 2 compliance opens the clinical market</w:t>
      </w:r>
    </w:p>
    <w:p w14:paraId="35D7B4F7" w14:textId="77777777" w:rsidR="003E307C" w:rsidRPr="003E307C" w:rsidRDefault="003E307C" w:rsidP="003E307C">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lastRenderedPageBreak/>
        <w:t>Upsell: analytics dashboard showing fitting accuracy, return rates, staff performance</w:t>
      </w:r>
    </w:p>
    <w:p w14:paraId="2F4643D2"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Why it wins:</w:t>
      </w:r>
      <w:r w:rsidRPr="003E307C">
        <w:rPr>
          <w:rFonts w:ascii="Times New Roman" w:eastAsia="Times New Roman" w:hAnsi="Times New Roman" w:cs="Times New Roman"/>
          <w:kern w:val="0"/>
          <w14:ligatures w14:val="none"/>
        </w:rPr>
        <w:t xml:space="preserve"> Optical retail is underdigitized. Pupillometers cost $800–$3,000 each and require trained staff. FaceMetrics replaces that hardware with software at a fraction of the cost, while adding data intelligence incumbents can't offer. High switching costs once embedded in clinical workflows.</w:t>
      </w:r>
    </w:p>
    <w:p w14:paraId="35A48BD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Key risk:</w:t>
      </w:r>
      <w:r w:rsidRPr="003E307C">
        <w:rPr>
          <w:rFonts w:ascii="Times New Roman" w:eastAsia="Times New Roman" w:hAnsi="Times New Roman" w:cs="Times New Roman"/>
          <w:kern w:val="0"/>
          <w14:ligatures w14:val="none"/>
        </w:rPr>
        <w:t xml:space="preserve"> Long enterprise sales cycles, heavy compliance burden, and a conservative buyer (optometrists are not early adopters). Requires a strong direct sales team.</w:t>
      </w:r>
    </w:p>
    <w:p w14:paraId="04953B3B" w14:textId="77777777" w:rsidR="003E307C" w:rsidRPr="003E307C" w:rsidRDefault="009D55B4" w:rsidP="003E307C">
      <w:pPr>
        <w:spacing w:after="0" w:line="240" w:lineRule="auto"/>
        <w:rPr>
          <w:rFonts w:ascii="Times New Roman" w:eastAsia="Times New Roman" w:hAnsi="Times New Roman" w:cs="Times New Roman"/>
          <w:kern w:val="0"/>
          <w14:ligatures w14:val="none"/>
        </w:rPr>
      </w:pPr>
      <w:r>
        <w:rPr>
          <w:noProof/>
        </w:rPr>
      </w:r>
      <w:r>
        <w:pict w14:anchorId="3B298F42">
          <v:rect id="Horizontal Line 13"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C0DF988"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3. Consumer Data &amp; Personalization Network — Own the Face Profile</w:t>
      </w:r>
    </w:p>
    <w:p w14:paraId="6F2AD1F6"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The bet:</w:t>
      </w:r>
      <w:r w:rsidRPr="003E307C">
        <w:rPr>
          <w:rFonts w:ascii="Times New Roman" w:eastAsia="Times New Roman" w:hAnsi="Times New Roman" w:cs="Times New Roman"/>
          <w:kern w:val="0"/>
          <w14:ligatures w14:val="none"/>
        </w:rPr>
        <w:t xml:space="preserve"> The measurements are valuable, but the persistent face profile is a defensible data asset. Build a consumer-facing identity layer — a "face profile" that users carry across any eyewear brand, telehealth provider, or AR try-on experience.</w:t>
      </w:r>
    </w:p>
    <w:p w14:paraId="58C5B870"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How it works:</w:t>
      </w:r>
    </w:p>
    <w:p w14:paraId="34417415"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Consumer creates a free FaceMetrics account and runs a one-time measurement session</w:t>
      </w:r>
    </w:p>
    <w:p w14:paraId="4E0F29D6"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Their face profile (measurements + asymmetry data + style preferences from the assessment builder) is stored and portable</w:t>
      </w:r>
    </w:p>
    <w:p w14:paraId="36C4D946"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Brands pay for permission-based access to verified face profiles — reducing their per-session cost and eliminating recalibration friction for returning customers</w:t>
      </w:r>
    </w:p>
    <w:p w14:paraId="38D026CD"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Expand beyond eyewear: face masks, helmets, hearing aids, surgical masks, hats — any product where facial fit matters</w:t>
      </w:r>
    </w:p>
    <w:p w14:paraId="246D4E2E" w14:textId="77777777" w:rsidR="003E307C" w:rsidRPr="003E307C" w:rsidRDefault="003E307C" w:rsidP="003E307C">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Long term: license aggregated, anonymized fit data to frame manufacturers for product design</w:t>
      </w:r>
    </w:p>
    <w:p w14:paraId="105D0E09"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Why it wins:</w:t>
      </w:r>
      <w:r w:rsidRPr="003E307C">
        <w:rPr>
          <w:rFonts w:ascii="Times New Roman" w:eastAsia="Times New Roman" w:hAnsi="Times New Roman" w:cs="Times New Roman"/>
          <w:kern w:val="0"/>
          <w14:ligatures w14:val="none"/>
        </w:rPr>
        <w:t xml:space="preserve"> Creates a two-sided network — consumers want portability, brands want verified data. As the profile accumulates purchase history and fit feedback, it becomes a powerful personalization engine. The moat deepens with every user who adopts it.</w:t>
      </w:r>
    </w:p>
    <w:p w14:paraId="5CF0222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Key risk:</w:t>
      </w:r>
      <w:r w:rsidRPr="003E307C">
        <w:rPr>
          <w:rFonts w:ascii="Times New Roman" w:eastAsia="Times New Roman" w:hAnsi="Times New Roman" w:cs="Times New Roman"/>
          <w:kern w:val="0"/>
          <w14:ligatures w14:val="none"/>
        </w:rPr>
        <w:t xml:space="preserve"> Consumer data businesses face significant privacy regulatory pressure (GDPR, CCPA, BIPA — Illinois Biometric Information Privacy Act is particularly relevant for facial data). Trust is hard to build and easy to lose. Requires a consumer marketing budget, not just a developer-facing GTM.</w:t>
      </w:r>
    </w:p>
    <w:p w14:paraId="035ACC19" w14:textId="77777777" w:rsidR="003E307C" w:rsidRPr="003E307C" w:rsidRDefault="009D55B4" w:rsidP="003E307C">
      <w:pPr>
        <w:spacing w:after="0" w:line="240" w:lineRule="auto"/>
        <w:rPr>
          <w:rFonts w:ascii="Times New Roman" w:eastAsia="Times New Roman" w:hAnsi="Times New Roman" w:cs="Times New Roman"/>
          <w:kern w:val="0"/>
          <w14:ligatures w14:val="none"/>
        </w:rPr>
      </w:pPr>
      <w:r>
        <w:rPr>
          <w:noProof/>
        </w:rPr>
      </w:r>
      <w:r>
        <w:pict w14:anchorId="348E2E97">
          <v:rect id="Horizontal Line 14" o:spid="_x0000_s103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D5488B6"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Which to Pursue?</w:t>
      </w:r>
    </w:p>
    <w:p w14:paraId="3F0D9FB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 xml:space="preserve">The most pragmatic path is to </w:t>
      </w:r>
      <w:r w:rsidRPr="003E307C">
        <w:rPr>
          <w:rFonts w:ascii="Times New Roman" w:eastAsia="Times New Roman" w:hAnsi="Times New Roman" w:cs="Times New Roman"/>
          <w:b/>
          <w:bCs/>
          <w:kern w:val="0"/>
          <w14:ligatures w14:val="none"/>
        </w:rPr>
        <w:t>sequence them</w:t>
      </w:r>
      <w:r w:rsidRPr="003E307C">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391"/>
        <w:gridCol w:w="4693"/>
      </w:tblGrid>
      <w:tr w:rsidR="003E307C" w:rsidRPr="003E307C" w14:paraId="325E90B1" w14:textId="77777777">
        <w:trPr>
          <w:tblHeader/>
          <w:tblCellSpacing w:w="15" w:type="dxa"/>
        </w:trPr>
        <w:tc>
          <w:tcPr>
            <w:tcW w:w="0" w:type="auto"/>
            <w:vAlign w:val="center"/>
            <w:hideMark/>
          </w:tcPr>
          <w:p w14:paraId="08B4CAAF"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lastRenderedPageBreak/>
              <w:t>Phase</w:t>
            </w:r>
          </w:p>
        </w:tc>
        <w:tc>
          <w:tcPr>
            <w:tcW w:w="0" w:type="auto"/>
            <w:vAlign w:val="center"/>
            <w:hideMark/>
          </w:tcPr>
          <w:p w14:paraId="1AD04C94"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Strategy</w:t>
            </w:r>
          </w:p>
        </w:tc>
        <w:tc>
          <w:tcPr>
            <w:tcW w:w="0" w:type="auto"/>
            <w:vAlign w:val="center"/>
            <w:hideMark/>
          </w:tcPr>
          <w:p w14:paraId="44169BAA"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Why</w:t>
            </w:r>
          </w:p>
        </w:tc>
      </w:tr>
      <w:tr w:rsidR="003E307C" w:rsidRPr="003E307C" w14:paraId="1A798B6C" w14:textId="77777777">
        <w:trPr>
          <w:tblCellSpacing w:w="15" w:type="dxa"/>
        </w:trPr>
        <w:tc>
          <w:tcPr>
            <w:tcW w:w="0" w:type="auto"/>
            <w:vAlign w:val="center"/>
            <w:hideMark/>
          </w:tcPr>
          <w:p w14:paraId="70E19829"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0–18 months</w:t>
            </w:r>
          </w:p>
        </w:tc>
        <w:tc>
          <w:tcPr>
            <w:tcW w:w="0" w:type="auto"/>
            <w:vAlign w:val="center"/>
            <w:hideMark/>
          </w:tcPr>
          <w:p w14:paraId="19975023"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Platform / API (Strategy 1)</w:t>
            </w:r>
          </w:p>
        </w:tc>
        <w:tc>
          <w:tcPr>
            <w:tcW w:w="0" w:type="auto"/>
            <w:vAlign w:val="center"/>
            <w:hideMark/>
          </w:tcPr>
          <w:p w14:paraId="5CEA1020"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Fastest to revenue, lowest sales cost, builds brand credibility</w:t>
            </w:r>
          </w:p>
        </w:tc>
      </w:tr>
      <w:tr w:rsidR="003E307C" w:rsidRPr="003E307C" w14:paraId="4436950A" w14:textId="77777777">
        <w:trPr>
          <w:tblCellSpacing w:w="15" w:type="dxa"/>
        </w:trPr>
        <w:tc>
          <w:tcPr>
            <w:tcW w:w="0" w:type="auto"/>
            <w:vAlign w:val="center"/>
            <w:hideMark/>
          </w:tcPr>
          <w:p w14:paraId="43E66203"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18–36 months</w:t>
            </w:r>
          </w:p>
        </w:tc>
        <w:tc>
          <w:tcPr>
            <w:tcW w:w="0" w:type="auto"/>
            <w:vAlign w:val="center"/>
            <w:hideMark/>
          </w:tcPr>
          <w:p w14:paraId="784AD445"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Vertical SaaS for optical retail (Strategy 2)</w:t>
            </w:r>
          </w:p>
        </w:tc>
        <w:tc>
          <w:tcPr>
            <w:tcW w:w="0" w:type="auto"/>
            <w:vAlign w:val="center"/>
            <w:hideMark/>
          </w:tcPr>
          <w:p w14:paraId="69BE4A55"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Converts API traction into sticky enterprise contracts</w:t>
            </w:r>
          </w:p>
        </w:tc>
      </w:tr>
      <w:tr w:rsidR="003E307C" w:rsidRPr="003E307C" w14:paraId="37DFC645" w14:textId="77777777">
        <w:trPr>
          <w:tblCellSpacing w:w="15" w:type="dxa"/>
        </w:trPr>
        <w:tc>
          <w:tcPr>
            <w:tcW w:w="0" w:type="auto"/>
            <w:vAlign w:val="center"/>
            <w:hideMark/>
          </w:tcPr>
          <w:p w14:paraId="7D008BA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36+ months</w:t>
            </w:r>
          </w:p>
        </w:tc>
        <w:tc>
          <w:tcPr>
            <w:tcW w:w="0" w:type="auto"/>
            <w:vAlign w:val="center"/>
            <w:hideMark/>
          </w:tcPr>
          <w:p w14:paraId="18F98804"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Consumer data network (Strategy 3)</w:t>
            </w:r>
          </w:p>
        </w:tc>
        <w:tc>
          <w:tcPr>
            <w:tcW w:w="0" w:type="auto"/>
            <w:vAlign w:val="center"/>
            <w:hideMark/>
          </w:tcPr>
          <w:p w14:paraId="37E3C3EA"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Only viable once scale and trust are established</w:t>
            </w:r>
          </w:p>
        </w:tc>
      </w:tr>
    </w:tbl>
    <w:p w14:paraId="1EC60BE0"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Strategy 1 funds Strategy 2. Strategy 2 provides the enterprise credibility and data volume that makes Strategy 3 defensible. Attempting Strategy 3 first would be premature — consumer trust in a biometric data company has to be earned, not assumed.</w:t>
      </w:r>
    </w:p>
    <w:p w14:paraId="2EC25CCE"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Want me to update the PRD to incorporate a preferred business strategy, or build out a competitive landscape analysis to pressure-test these against existing players?</w:t>
      </w:r>
    </w:p>
    <w:p w14:paraId="20035541" w14:textId="77777777" w:rsid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p>
    <w:p w14:paraId="4B3F23CF" w14:textId="77777777" w:rsid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p>
    <w:p w14:paraId="4E648E11" w14:textId="77777777" w:rsid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p>
    <w:p w14:paraId="315FDC0A" w14:textId="504DA94B"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Great strategic question. Here's a rigorous framework across both risk dimensions:</w:t>
      </w:r>
    </w:p>
    <w:p w14:paraId="45893F67" w14:textId="77777777" w:rsidR="003E307C" w:rsidRPr="003E307C" w:rsidRDefault="009D55B4" w:rsidP="003E307C">
      <w:pPr>
        <w:spacing w:after="0" w:line="240" w:lineRule="auto"/>
        <w:rPr>
          <w:rFonts w:ascii="Times New Roman" w:eastAsia="Times New Roman" w:hAnsi="Times New Roman" w:cs="Times New Roman"/>
          <w:kern w:val="0"/>
          <w14:ligatures w14:val="none"/>
        </w:rPr>
      </w:pPr>
      <w:r>
        <w:rPr>
          <w:noProof/>
        </w:rPr>
      </w:r>
      <w:r>
        <w:pict w14:anchorId="34B581F8">
          <v:rect id="Horizontal Line 1"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D522F1B"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Option 1 Risks &amp; Mitigations</w:t>
      </w:r>
    </w:p>
    <w:p w14:paraId="14E5ECBD" w14:textId="77777777" w:rsidR="003E307C" w:rsidRPr="003E307C" w:rsidRDefault="003E307C" w:rsidP="003E30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307C">
        <w:rPr>
          <w:rFonts w:ascii="Times New Roman" w:eastAsia="Times New Roman" w:hAnsi="Times New Roman" w:cs="Times New Roman"/>
          <w:b/>
          <w:bCs/>
          <w:kern w:val="0"/>
          <w:sz w:val="27"/>
          <w:szCs w:val="27"/>
          <w14:ligatures w14:val="none"/>
        </w:rPr>
        <w:t>"Stripe for Eyewear Measurement"</w:t>
      </w:r>
    </w:p>
    <w:p w14:paraId="53B7BE8A"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1: A major player builds internally or acquires a competitor</w:t>
      </w:r>
    </w:p>
    <w:p w14:paraId="4B159098"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 xml:space="preserve">The real threat isn't that Warby Parker or EssilorLuxottica builds a better algorithm — it's that they build </w:t>
      </w:r>
      <w:r w:rsidRPr="003E307C">
        <w:rPr>
          <w:rFonts w:ascii="Times New Roman" w:eastAsia="Times New Roman" w:hAnsi="Times New Roman" w:cs="Times New Roman"/>
          <w:i/>
          <w:iCs/>
          <w:kern w:val="0"/>
          <w14:ligatures w14:val="none"/>
        </w:rPr>
        <w:t>good enough</w:t>
      </w:r>
      <w:r w:rsidRPr="003E307C">
        <w:rPr>
          <w:rFonts w:ascii="Times New Roman" w:eastAsia="Times New Roman" w:hAnsi="Times New Roman" w:cs="Times New Roman"/>
          <w:kern w:val="0"/>
          <w14:ligatures w14:val="none"/>
        </w:rPr>
        <w:t xml:space="preserve"> and make it proprietary. Mitigations:</w:t>
      </w:r>
    </w:p>
    <w:p w14:paraId="1558F69B" w14:textId="77777777" w:rsidR="003E307C" w:rsidRPr="003E307C" w:rsidRDefault="003E307C" w:rsidP="003E30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Move faster on integrations than they can move on development.</w:t>
      </w:r>
      <w:r w:rsidRPr="003E307C">
        <w:rPr>
          <w:rFonts w:ascii="Times New Roman" w:eastAsia="Times New Roman" w:hAnsi="Times New Roman" w:cs="Times New Roman"/>
          <w:kern w:val="0"/>
          <w14:ligatures w14:val="none"/>
        </w:rPr>
        <w:t xml:space="preserve"> Every brand embedded in your API is a switching-cost. The goal is to make ripping out FaceMetrics as painful as ripping out Stripe — it touches the checkout, the frame page, the Rx flow, and the CRM simultaneously</w:t>
      </w:r>
    </w:p>
    <w:p w14:paraId="10F9548E" w14:textId="77777777" w:rsidR="003E307C" w:rsidRPr="003E307C" w:rsidRDefault="003E307C" w:rsidP="003E30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Sign exclusivity windows with major DTC brands early</w:t>
      </w:r>
      <w:r w:rsidRPr="003E307C">
        <w:rPr>
          <w:rFonts w:ascii="Times New Roman" w:eastAsia="Times New Roman" w:hAnsi="Times New Roman" w:cs="Times New Roman"/>
          <w:kern w:val="0"/>
          <w14:ligatures w14:val="none"/>
        </w:rPr>
        <w:t xml:space="preserve"> — even 12-month preferred provider agreements create moats while you establish category dominance</w:t>
      </w:r>
    </w:p>
    <w:p w14:paraId="482D808F" w14:textId="77777777" w:rsidR="003E307C" w:rsidRPr="003E307C" w:rsidRDefault="003E307C" w:rsidP="003E30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Open-source the CV layer strategically.</w:t>
      </w:r>
      <w:r w:rsidRPr="003E307C">
        <w:rPr>
          <w:rFonts w:ascii="Times New Roman" w:eastAsia="Times New Roman" w:hAnsi="Times New Roman" w:cs="Times New Roman"/>
          <w:kern w:val="0"/>
          <w14:ligatures w14:val="none"/>
        </w:rPr>
        <w:t xml:space="preserve"> Counter-intuitive but powerful: if the measurement algorithm is open, the moat shifts entirely to data, reliability, integrations, and trust — areas where a startup with focus beats a large company with divided attention. Stripe didn't keep its API secret; it kept its infrastructure, compliance, and network proprietary</w:t>
      </w:r>
    </w:p>
    <w:p w14:paraId="14A9D7E7" w14:textId="77777777" w:rsidR="003E307C" w:rsidRPr="003E307C" w:rsidRDefault="003E307C" w:rsidP="003E307C">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lastRenderedPageBreak/>
        <w:t>File patents on the calibration methods</w:t>
      </w:r>
      <w:r w:rsidRPr="003E307C">
        <w:rPr>
          <w:rFonts w:ascii="Times New Roman" w:eastAsia="Times New Roman" w:hAnsi="Times New Roman" w:cs="Times New Roman"/>
          <w:kern w:val="0"/>
          <w14:ligatures w14:val="none"/>
        </w:rPr>
        <w:t xml:space="preserve"> — specifically the credit card homography + iris landmark pipeline combination and the asymmetry detection methodology. This doesn't stop Google or Apple but it slows mid-tier competitors</w:t>
      </w:r>
    </w:p>
    <w:p w14:paraId="52CC6640"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2: Low revenue per transaction, slow growth</w:t>
      </w:r>
    </w:p>
    <w:p w14:paraId="067B7AF9" w14:textId="77777777" w:rsidR="003E307C" w:rsidRPr="003E307C" w:rsidRDefault="003E307C" w:rsidP="003E30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Tiered session pricing creates floor revenue.</w:t>
      </w:r>
      <w:r w:rsidRPr="003E307C">
        <w:rPr>
          <w:rFonts w:ascii="Times New Roman" w:eastAsia="Times New Roman" w:hAnsi="Times New Roman" w:cs="Times New Roman"/>
          <w:kern w:val="0"/>
          <w14:ligatures w14:val="none"/>
        </w:rPr>
        <w:t xml:space="preserve"> Don't price purely per session — bundle a platform fee with session credits. This gives predictable MRR from day one rather than purely usage-based volatility</w:t>
      </w:r>
    </w:p>
    <w:p w14:paraId="4A294E24" w14:textId="77777777" w:rsidR="003E307C" w:rsidRPr="003E307C" w:rsidRDefault="003E307C" w:rsidP="003E30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Charge for asymmetry data and analytics separately.</w:t>
      </w:r>
      <w:r w:rsidRPr="003E307C">
        <w:rPr>
          <w:rFonts w:ascii="Times New Roman" w:eastAsia="Times New Roman" w:hAnsi="Times New Roman" w:cs="Times New Roman"/>
          <w:kern w:val="0"/>
          <w14:ligatures w14:val="none"/>
        </w:rPr>
        <w:t xml:space="preserve"> The measurement result is the commodity; the asymmetry flag, the confidence score, the vertical eye offset — those are premium signals that integrators will pay more for, especially progressive lens fitters</w:t>
      </w:r>
    </w:p>
    <w:p w14:paraId="2DA790F3" w14:textId="77777777" w:rsidR="003E307C" w:rsidRPr="003E307C" w:rsidRDefault="003E307C" w:rsidP="003E307C">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Launch an affiliate/referral program for developers.</w:t>
      </w:r>
      <w:r w:rsidRPr="003E307C">
        <w:rPr>
          <w:rFonts w:ascii="Times New Roman" w:eastAsia="Times New Roman" w:hAnsi="Times New Roman" w:cs="Times New Roman"/>
          <w:kern w:val="0"/>
          <w14:ligatures w14:val="none"/>
        </w:rPr>
        <w:t xml:space="preserve"> SDK developers who bring in brands earn rev-share. Turns your distribution problem into a community problem</w:t>
      </w:r>
    </w:p>
    <w:p w14:paraId="107073E7"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3: Commoditization — someone replicates the CV pipeline</w:t>
      </w:r>
    </w:p>
    <w:p w14:paraId="451B0C2E" w14:textId="77777777" w:rsidR="003E307C" w:rsidRPr="003E307C" w:rsidRDefault="003E307C" w:rsidP="003E30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The algorithm is not the moat; the network is.</w:t>
      </w:r>
      <w:r w:rsidRPr="003E307C">
        <w:rPr>
          <w:rFonts w:ascii="Times New Roman" w:eastAsia="Times New Roman" w:hAnsi="Times New Roman" w:cs="Times New Roman"/>
          <w:kern w:val="0"/>
          <w14:ligatures w14:val="none"/>
        </w:rPr>
        <w:t xml:space="preserve"> As sessions accumulate, FaceMetrics generates a proprietary dataset of facial measurement outcomes correlated with optical prescriptions and return rates. This data trains progressively better models that a day-one competitor cannot replicate</w:t>
      </w:r>
    </w:p>
    <w:p w14:paraId="39AF2172" w14:textId="77777777" w:rsidR="003E307C" w:rsidRPr="003E307C" w:rsidRDefault="003E307C" w:rsidP="003E30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Invest in accuracy benchmarking and publish it.</w:t>
      </w:r>
      <w:r w:rsidRPr="003E307C">
        <w:rPr>
          <w:rFonts w:ascii="Times New Roman" w:eastAsia="Times New Roman" w:hAnsi="Times New Roman" w:cs="Times New Roman"/>
          <w:kern w:val="0"/>
          <w14:ligatures w14:val="none"/>
        </w:rPr>
        <w:t xml:space="preserve"> Commission independent third-party validation against clinical pupillometers. Publish the results. This turns accuracy into a brand attribute and raises the bar competitors must clear just to be considered</w:t>
      </w:r>
    </w:p>
    <w:p w14:paraId="0EA2D900" w14:textId="77777777" w:rsidR="003E307C" w:rsidRPr="003E307C" w:rsidRDefault="003E307C" w:rsidP="003E307C">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Create a developer certification program.</w:t>
      </w:r>
      <w:r w:rsidRPr="003E307C">
        <w:rPr>
          <w:rFonts w:ascii="Times New Roman" w:eastAsia="Times New Roman" w:hAnsi="Times New Roman" w:cs="Times New Roman"/>
          <w:kern w:val="0"/>
          <w14:ligatures w14:val="none"/>
        </w:rPr>
        <w:t xml:space="preserve"> Certified FaceMetrics integrators get priority support, co-marketing, and early API access. This builds community loyalty that is sticky well beyond technical switching costs</w:t>
      </w:r>
    </w:p>
    <w:p w14:paraId="186B8C86" w14:textId="77777777" w:rsidR="003E307C" w:rsidRPr="003E307C" w:rsidRDefault="009D55B4" w:rsidP="003E307C">
      <w:pPr>
        <w:spacing w:after="0" w:line="240" w:lineRule="auto"/>
        <w:rPr>
          <w:rFonts w:ascii="Times New Roman" w:eastAsia="Times New Roman" w:hAnsi="Times New Roman" w:cs="Times New Roman"/>
          <w:kern w:val="0"/>
          <w14:ligatures w14:val="none"/>
        </w:rPr>
      </w:pPr>
      <w:r>
        <w:rPr>
          <w:noProof/>
        </w:rPr>
      </w:r>
      <w:r>
        <w:pict w14:anchorId="19F1E4C1">
          <v:rect id="Horizontal Line 2"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0FABB02"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Option 2 Risks &amp; Mitigations</w:t>
      </w:r>
    </w:p>
    <w:p w14:paraId="5DE51CC2" w14:textId="77777777" w:rsidR="003E307C" w:rsidRPr="003E307C" w:rsidRDefault="003E307C" w:rsidP="003E30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E307C">
        <w:rPr>
          <w:rFonts w:ascii="Times New Roman" w:eastAsia="Times New Roman" w:hAnsi="Times New Roman" w:cs="Times New Roman"/>
          <w:b/>
          <w:bCs/>
          <w:kern w:val="0"/>
          <w:sz w:val="27"/>
          <w:szCs w:val="27"/>
          <w14:ligatures w14:val="none"/>
        </w:rPr>
        <w:t>Vertical SaaS for Optical Retail</w:t>
      </w:r>
    </w:p>
    <w:p w14:paraId="398D2102"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1: Long enterprise sales cycles</w:t>
      </w:r>
    </w:p>
    <w:p w14:paraId="76381E18" w14:textId="77777777" w:rsidR="003E307C" w:rsidRPr="003E307C" w:rsidRDefault="003E307C" w:rsidP="003E30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Start with mid-market, not enterprise.</w:t>
      </w:r>
      <w:r w:rsidRPr="003E307C">
        <w:rPr>
          <w:rFonts w:ascii="Times New Roman" w:eastAsia="Times New Roman" w:hAnsi="Times New Roman" w:cs="Times New Roman"/>
          <w:kern w:val="0"/>
          <w14:ligatures w14:val="none"/>
        </w:rPr>
        <w:t xml:space="preserve"> Independent opticians and regional chains (10–50 locations) make decisions in weeks, not quarters. Build reference customers there first, then use their ROI data (return rate reduction, fitting time saved) as the proof case for the Visionworks-scale conversation</w:t>
      </w:r>
    </w:p>
    <w:p w14:paraId="61E76CC9" w14:textId="77777777" w:rsidR="003E307C" w:rsidRPr="003E307C" w:rsidRDefault="003E307C" w:rsidP="003E30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Design a 14-day free trial with zero IT involvement.</w:t>
      </w:r>
      <w:r w:rsidRPr="003E307C">
        <w:rPr>
          <w:rFonts w:ascii="Times New Roman" w:eastAsia="Times New Roman" w:hAnsi="Times New Roman" w:cs="Times New Roman"/>
          <w:kern w:val="0"/>
          <w14:ligatures w14:val="none"/>
        </w:rPr>
        <w:t xml:space="preserve"> If an optician can measure a patient in their first session without calling IT, the barrier to trial collapses. Hardware-free is a fundamental sales advantage over pupillometer vendors</w:t>
      </w:r>
    </w:p>
    <w:p w14:paraId="064554C8" w14:textId="77777777" w:rsidR="003E307C" w:rsidRPr="003E307C" w:rsidRDefault="003E307C" w:rsidP="003E307C">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Partner with optical buying groups</w:t>
      </w:r>
      <w:r w:rsidRPr="003E307C">
        <w:rPr>
          <w:rFonts w:ascii="Times New Roman" w:eastAsia="Times New Roman" w:hAnsi="Times New Roman" w:cs="Times New Roman"/>
          <w:kern w:val="0"/>
          <w14:ligatures w14:val="none"/>
        </w:rPr>
        <w:t xml:space="preserve"> (ABB Optical, Vision Source, Essilor's independent network). A single partnership with a buying group reaches hundreds of independent practices simultaneously, bypassing the one-at-a-time sales grind</w:t>
      </w:r>
    </w:p>
    <w:p w14:paraId="2CD23681"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lastRenderedPageBreak/>
        <w:t>Risk 2: Conservative buyer — optometrists are not early adopters</w:t>
      </w:r>
    </w:p>
    <w:p w14:paraId="1781AF09" w14:textId="77777777" w:rsidR="003E307C" w:rsidRPr="003E307C" w:rsidRDefault="003E307C" w:rsidP="003E30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Frame it as augmenting the OD, not replacing them.</w:t>
      </w:r>
      <w:r w:rsidRPr="003E307C">
        <w:rPr>
          <w:rFonts w:ascii="Times New Roman" w:eastAsia="Times New Roman" w:hAnsi="Times New Roman" w:cs="Times New Roman"/>
          <w:kern w:val="0"/>
          <w14:ligatures w14:val="none"/>
        </w:rPr>
        <w:t xml:space="preserve"> The narrative is "your clinical judgment + FaceMetrics precision = better patient outcomes" not "FaceMetrics replaces your pupillometer and your expertise." Optometrists fear displacement; reassure them with the data</w:t>
      </w:r>
    </w:p>
    <w:p w14:paraId="65249A46" w14:textId="77777777" w:rsidR="003E307C" w:rsidRPr="003E307C" w:rsidRDefault="003E307C" w:rsidP="003E30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Get CE credit and OD association endorsements early.</w:t>
      </w:r>
      <w:r w:rsidRPr="003E307C">
        <w:rPr>
          <w:rFonts w:ascii="Times New Roman" w:eastAsia="Times New Roman" w:hAnsi="Times New Roman" w:cs="Times New Roman"/>
          <w:kern w:val="0"/>
          <w14:ligatures w14:val="none"/>
        </w:rPr>
        <w:t xml:space="preserve"> The American Optometric Association and state boards carry enormous credibility with practitioners. A continuing education module on digital measurement that subtly validates FaceMetrics positions you as the professional standard, not a tech intruder</w:t>
      </w:r>
    </w:p>
    <w:p w14:paraId="483F5D80" w14:textId="77777777" w:rsidR="003E307C" w:rsidRPr="003E307C" w:rsidRDefault="003E307C" w:rsidP="003E307C">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Publish peer-reviewed accuracy data.</w:t>
      </w:r>
      <w:r w:rsidRPr="003E307C">
        <w:rPr>
          <w:rFonts w:ascii="Times New Roman" w:eastAsia="Times New Roman" w:hAnsi="Times New Roman" w:cs="Times New Roman"/>
          <w:kern w:val="0"/>
          <w14:ligatures w14:val="none"/>
        </w:rPr>
        <w:t xml:space="preserve"> A single paper in </w:t>
      </w:r>
      <w:r w:rsidRPr="003E307C">
        <w:rPr>
          <w:rFonts w:ascii="Times New Roman" w:eastAsia="Times New Roman" w:hAnsi="Times New Roman" w:cs="Times New Roman"/>
          <w:i/>
          <w:iCs/>
          <w:kern w:val="0"/>
          <w14:ligatures w14:val="none"/>
        </w:rPr>
        <w:t>Optometry and Vision Science</w:t>
      </w:r>
      <w:r w:rsidRPr="003E307C">
        <w:rPr>
          <w:rFonts w:ascii="Times New Roman" w:eastAsia="Times New Roman" w:hAnsi="Times New Roman" w:cs="Times New Roman"/>
          <w:kern w:val="0"/>
          <w14:ligatures w14:val="none"/>
        </w:rPr>
        <w:t xml:space="preserve"> or </w:t>
      </w:r>
      <w:r w:rsidRPr="003E307C">
        <w:rPr>
          <w:rFonts w:ascii="Times New Roman" w:eastAsia="Times New Roman" w:hAnsi="Times New Roman" w:cs="Times New Roman"/>
          <w:i/>
          <w:iCs/>
          <w:kern w:val="0"/>
          <w14:ligatures w14:val="none"/>
        </w:rPr>
        <w:t>Clinical and Experimental Optometry</w:t>
      </w:r>
      <w:r w:rsidRPr="003E307C">
        <w:rPr>
          <w:rFonts w:ascii="Times New Roman" w:eastAsia="Times New Roman" w:hAnsi="Times New Roman" w:cs="Times New Roman"/>
          <w:kern w:val="0"/>
          <w14:ligatures w14:val="none"/>
        </w:rPr>
        <w:t xml:space="preserve"> comparing FaceMetrics to pupillometer baseline across 500 patients is worth more to an OD buyer than any marketing campaign</w:t>
      </w:r>
    </w:p>
    <w:p w14:paraId="41F2CAD2"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Risk 3: Heavy compliance burden (HIPAA, SOC 2)</w:t>
      </w:r>
    </w:p>
    <w:p w14:paraId="1A5BB388" w14:textId="77777777" w:rsidR="003E307C" w:rsidRPr="003E307C" w:rsidRDefault="003E307C" w:rsidP="003E30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Use compliance as a competitive weapon, not just a cost.</w:t>
      </w:r>
      <w:r w:rsidRPr="003E307C">
        <w:rPr>
          <w:rFonts w:ascii="Times New Roman" w:eastAsia="Times New Roman" w:hAnsi="Times New Roman" w:cs="Times New Roman"/>
          <w:kern w:val="0"/>
          <w14:ligatures w14:val="none"/>
        </w:rPr>
        <w:t xml:space="preserve"> Once you have HIPAA BAA and SOC 2 Type II, smaller competitors cannot follow you into clinical accounts without replicating 18 months of compliance work. Announce certifications loudly and prominently. Make "HIPAA-compliant facial measurement" a category you define</w:t>
      </w:r>
    </w:p>
    <w:p w14:paraId="4B0328B2" w14:textId="77777777" w:rsidR="003E307C" w:rsidRPr="003E307C" w:rsidRDefault="003E307C" w:rsidP="003E30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Build on AWS HealthLake or Azure Health Data Services from day one.</w:t>
      </w:r>
      <w:r w:rsidRPr="003E307C">
        <w:rPr>
          <w:rFonts w:ascii="Times New Roman" w:eastAsia="Times New Roman" w:hAnsi="Times New Roman" w:cs="Times New Roman"/>
          <w:kern w:val="0"/>
          <w14:ligatures w14:val="none"/>
        </w:rPr>
        <w:t xml:space="preserve"> Using a compliant infrastructure layer means your compliance posture scales with your customer base rather than requiring custom work per enterprise deal</w:t>
      </w:r>
    </w:p>
    <w:p w14:paraId="533D08A8" w14:textId="77777777" w:rsidR="003E307C" w:rsidRPr="003E307C" w:rsidRDefault="003E307C" w:rsidP="003E307C">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Hire a Chief Privacy Officer or fractional privacy counsel in Year 1</w:t>
      </w:r>
      <w:r w:rsidRPr="003E307C">
        <w:rPr>
          <w:rFonts w:ascii="Times New Roman" w:eastAsia="Times New Roman" w:hAnsi="Times New Roman" w:cs="Times New Roman"/>
          <w:kern w:val="0"/>
          <w14:ligatures w14:val="none"/>
        </w:rPr>
        <w:t>, not Year 3. Retrofitting compliance is 3–5x more expensive than building it in from the start, and a single breach or HIPAA violation at this stage is existential</w:t>
      </w:r>
    </w:p>
    <w:p w14:paraId="6782069F" w14:textId="77777777" w:rsidR="003E307C" w:rsidRPr="003E307C" w:rsidRDefault="009D55B4" w:rsidP="003E307C">
      <w:pPr>
        <w:spacing w:after="0" w:line="240" w:lineRule="auto"/>
        <w:rPr>
          <w:rFonts w:ascii="Times New Roman" w:eastAsia="Times New Roman" w:hAnsi="Times New Roman" w:cs="Times New Roman"/>
          <w:kern w:val="0"/>
          <w14:ligatures w14:val="none"/>
        </w:rPr>
      </w:pPr>
      <w:r>
        <w:rPr>
          <w:noProof/>
        </w:rPr>
      </w:r>
      <w:r>
        <w:pict w14:anchorId="7682E1D3">
          <v:rect id="Horizontal Line 3"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244E9B1"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Cross-Cutting: Minimizing Competitor Opportunities</w:t>
      </w:r>
    </w:p>
    <w:p w14:paraId="28C5DC4E"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These apply to both strategies simultaneously and are arguably more important than the individual risk mitigations:</w:t>
      </w:r>
    </w:p>
    <w:p w14:paraId="49A16E3C"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1. Data flywheel — build it from session one</w:t>
      </w:r>
    </w:p>
    <w:p w14:paraId="510ED2BB"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Every session should feed a closed-loop learning system: measurement → frame purchased → return/no-return outcome → model refinement. This requires proactive partnerships with retailers to share outcome data (anonymized). A competitor starting today has zero outcome data. In 24 months you have millions of calibrated data points. This is your most durable moat.</w:t>
      </w:r>
    </w:p>
    <w:p w14:paraId="40B72F18"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2. Lock up the calibration object IP</w:t>
      </w:r>
    </w:p>
    <w:p w14:paraId="4E96796B"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 xml:space="preserve">The credit card + passport + ruler calibration method is novel enough to patent in the US, EU, and key Asian markets. File broad claims on reference-object-based facial measurement </w:t>
      </w:r>
      <w:r w:rsidRPr="003E307C">
        <w:rPr>
          <w:rFonts w:ascii="Times New Roman" w:eastAsia="Times New Roman" w:hAnsi="Times New Roman" w:cs="Times New Roman"/>
          <w:kern w:val="0"/>
          <w14:ligatures w14:val="none"/>
        </w:rPr>
        <w:lastRenderedPageBreak/>
        <w:t>calibration. This forces competitors into inferior approaches (face-average estimation, depth sensors requiring hardware) or licensing from you.</w:t>
      </w:r>
    </w:p>
    <w:p w14:paraId="7DBCE592"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3. Control the standard</w:t>
      </w:r>
    </w:p>
    <w:p w14:paraId="52BFFADD"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Propose a FaceMetrics Measurement Data Standard (FMDS) — an open JSON schema for exchanging facial measurement data between platforms. Submit it to an industry body (the Vision Council of America is the natural home). If you write the standard and it gets adopted, every competitor's output has to conform to your schema. This is how Stripe shaped payment standards and how HL7 FHIR shaped health data.</w:t>
      </w:r>
    </w:p>
    <w:p w14:paraId="2A07CE9F"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4. Dual-track both strategies simultaneously, loosely</w:t>
      </w:r>
    </w:p>
    <w:p w14:paraId="088E778A"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The biggest strategic risk is being too clean about sequencing. If you wait 18 months to start talking to optical retailers, a competitor will have signed 50 of them before you arrive. Run a small enterprise sales motion in parallel with API growth — even landing 5–10 optical chain pilots in Year 1 establishes credibility and competitive signal without draining engineering focus.</w:t>
      </w:r>
    </w:p>
    <w:p w14:paraId="5C8CB170"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b/>
          <w:bCs/>
          <w:kern w:val="0"/>
          <w14:ligatures w14:val="none"/>
        </w:rPr>
        <w:t>5. Acquire distribution, don't just build product</w:t>
      </w:r>
    </w:p>
    <w:p w14:paraId="1C7FFA6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The fastest way to foreclose competitor opportunity is to own distribution channels before competitors realize they need them. Specifically:</w:t>
      </w:r>
    </w:p>
    <w:p w14:paraId="74B5ACF6" w14:textId="77777777" w:rsidR="003E307C" w:rsidRPr="003E307C" w:rsidRDefault="003E307C" w:rsidP="003E30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Acquire or take a significant stake in a small optical practice management software company — this gives you an installed base of OD relationships overnight</w:t>
      </w:r>
    </w:p>
    <w:p w14:paraId="78B94303" w14:textId="77777777" w:rsidR="003E307C" w:rsidRPr="003E307C" w:rsidRDefault="003E307C" w:rsidP="003E30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Acquire a virtual try-on startup — their camera access and consumer touchpoint is your measurement moment</w:t>
      </w:r>
    </w:p>
    <w:p w14:paraId="764CCEA3" w14:textId="77777777" w:rsidR="003E307C" w:rsidRPr="003E307C" w:rsidRDefault="003E307C" w:rsidP="003E307C">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Partner with prescription management apps (GoodRx, Blink Health, SingleCare) — they have the Rx data; you have the measurement; together you have a full online dispensing workflow that neither can offer alone</w:t>
      </w:r>
    </w:p>
    <w:p w14:paraId="7BA0297D" w14:textId="77777777" w:rsidR="003E307C" w:rsidRPr="003E307C" w:rsidRDefault="009D55B4" w:rsidP="003E307C">
      <w:pPr>
        <w:spacing w:after="0" w:line="240" w:lineRule="auto"/>
        <w:rPr>
          <w:rFonts w:ascii="Times New Roman" w:eastAsia="Times New Roman" w:hAnsi="Times New Roman" w:cs="Times New Roman"/>
          <w:kern w:val="0"/>
          <w14:ligatures w14:val="none"/>
        </w:rPr>
      </w:pPr>
      <w:r>
        <w:rPr>
          <w:noProof/>
        </w:rPr>
      </w:r>
      <w:r>
        <w:pict w14:anchorId="7B0DB2D9">
          <v:rect id="Horizontal Line 4"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4A649E5D" w14:textId="77777777" w:rsidR="003E307C" w:rsidRPr="003E307C" w:rsidRDefault="003E307C" w:rsidP="003E30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E307C">
        <w:rPr>
          <w:rFonts w:ascii="Times New Roman" w:eastAsia="Times New Roman" w:hAnsi="Times New Roman" w:cs="Times New Roman"/>
          <w:b/>
          <w:bCs/>
          <w:kern w:val="0"/>
          <w:sz w:val="36"/>
          <w:szCs w:val="36"/>
          <w14:ligatures w14:val="none"/>
        </w:rPr>
        <w:t>Summary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1"/>
        <w:gridCol w:w="3009"/>
        <w:gridCol w:w="1129"/>
        <w:gridCol w:w="1090"/>
        <w:gridCol w:w="1861"/>
      </w:tblGrid>
      <w:tr w:rsidR="003E307C" w:rsidRPr="003E307C" w14:paraId="1F217E26" w14:textId="77777777">
        <w:trPr>
          <w:tblHeader/>
          <w:tblCellSpacing w:w="15" w:type="dxa"/>
        </w:trPr>
        <w:tc>
          <w:tcPr>
            <w:tcW w:w="0" w:type="auto"/>
            <w:vAlign w:val="center"/>
            <w:hideMark/>
          </w:tcPr>
          <w:p w14:paraId="111C3CAA"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Risk</w:t>
            </w:r>
          </w:p>
        </w:tc>
        <w:tc>
          <w:tcPr>
            <w:tcW w:w="0" w:type="auto"/>
            <w:vAlign w:val="center"/>
            <w:hideMark/>
          </w:tcPr>
          <w:p w14:paraId="0350084C"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Strategy</w:t>
            </w:r>
          </w:p>
        </w:tc>
        <w:tc>
          <w:tcPr>
            <w:tcW w:w="0" w:type="auto"/>
            <w:vAlign w:val="center"/>
            <w:hideMark/>
          </w:tcPr>
          <w:p w14:paraId="305B0A7A"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Time Horizon</w:t>
            </w:r>
          </w:p>
        </w:tc>
        <w:tc>
          <w:tcPr>
            <w:tcW w:w="0" w:type="auto"/>
            <w:vAlign w:val="center"/>
            <w:hideMark/>
          </w:tcPr>
          <w:p w14:paraId="2FADAD03"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Cost</w:t>
            </w:r>
          </w:p>
        </w:tc>
        <w:tc>
          <w:tcPr>
            <w:tcW w:w="0" w:type="auto"/>
            <w:vAlign w:val="center"/>
            <w:hideMark/>
          </w:tcPr>
          <w:p w14:paraId="34D30988" w14:textId="77777777" w:rsidR="003E307C" w:rsidRPr="003E307C" w:rsidRDefault="003E307C" w:rsidP="003E307C">
            <w:pPr>
              <w:spacing w:after="0" w:line="240" w:lineRule="auto"/>
              <w:jc w:val="center"/>
              <w:rPr>
                <w:rFonts w:ascii="Times New Roman" w:eastAsia="Times New Roman" w:hAnsi="Times New Roman" w:cs="Times New Roman"/>
                <w:b/>
                <w:bCs/>
                <w:kern w:val="0"/>
                <w14:ligatures w14:val="none"/>
              </w:rPr>
            </w:pPr>
            <w:r w:rsidRPr="003E307C">
              <w:rPr>
                <w:rFonts w:ascii="Times New Roman" w:eastAsia="Times New Roman" w:hAnsi="Times New Roman" w:cs="Times New Roman"/>
                <w:b/>
                <w:bCs/>
                <w:kern w:val="0"/>
                <w14:ligatures w14:val="none"/>
              </w:rPr>
              <w:t>Moat Created</w:t>
            </w:r>
          </w:p>
        </w:tc>
      </w:tr>
      <w:tr w:rsidR="003E307C" w:rsidRPr="003E307C" w14:paraId="4CC1BA13" w14:textId="77777777">
        <w:trPr>
          <w:tblCellSpacing w:w="15" w:type="dxa"/>
        </w:trPr>
        <w:tc>
          <w:tcPr>
            <w:tcW w:w="0" w:type="auto"/>
            <w:vAlign w:val="center"/>
            <w:hideMark/>
          </w:tcPr>
          <w:p w14:paraId="62F1462E"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Major player builds internally</w:t>
            </w:r>
          </w:p>
        </w:tc>
        <w:tc>
          <w:tcPr>
            <w:tcW w:w="0" w:type="auto"/>
            <w:vAlign w:val="center"/>
            <w:hideMark/>
          </w:tcPr>
          <w:p w14:paraId="5D1E2C66"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Exclusivity agreements + open-source CV layer + patents</w:t>
            </w:r>
          </w:p>
        </w:tc>
        <w:tc>
          <w:tcPr>
            <w:tcW w:w="0" w:type="auto"/>
            <w:vAlign w:val="center"/>
            <w:hideMark/>
          </w:tcPr>
          <w:p w14:paraId="699A2F27"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0–12 months</w:t>
            </w:r>
          </w:p>
        </w:tc>
        <w:tc>
          <w:tcPr>
            <w:tcW w:w="0" w:type="auto"/>
            <w:vAlign w:val="center"/>
            <w:hideMark/>
          </w:tcPr>
          <w:p w14:paraId="5B0FCCC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Low–Medium</w:t>
            </w:r>
          </w:p>
        </w:tc>
        <w:tc>
          <w:tcPr>
            <w:tcW w:w="0" w:type="auto"/>
            <w:vAlign w:val="center"/>
            <w:hideMark/>
          </w:tcPr>
          <w:p w14:paraId="0830A1F4"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Integration switching costs</w:t>
            </w:r>
          </w:p>
        </w:tc>
      </w:tr>
      <w:tr w:rsidR="003E307C" w:rsidRPr="003E307C" w14:paraId="229EB5A9" w14:textId="77777777">
        <w:trPr>
          <w:tblCellSpacing w:w="15" w:type="dxa"/>
        </w:trPr>
        <w:tc>
          <w:tcPr>
            <w:tcW w:w="0" w:type="auto"/>
            <w:vAlign w:val="center"/>
            <w:hideMark/>
          </w:tcPr>
          <w:p w14:paraId="3F0C39BA"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Low per-transaction revenue</w:t>
            </w:r>
          </w:p>
        </w:tc>
        <w:tc>
          <w:tcPr>
            <w:tcW w:w="0" w:type="auto"/>
            <w:vAlign w:val="center"/>
            <w:hideMark/>
          </w:tcPr>
          <w:p w14:paraId="530F71B5"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Tiered platform fees + premium data signals</w:t>
            </w:r>
          </w:p>
        </w:tc>
        <w:tc>
          <w:tcPr>
            <w:tcW w:w="0" w:type="auto"/>
            <w:vAlign w:val="center"/>
            <w:hideMark/>
          </w:tcPr>
          <w:p w14:paraId="1289FE2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0–6 months</w:t>
            </w:r>
          </w:p>
        </w:tc>
        <w:tc>
          <w:tcPr>
            <w:tcW w:w="0" w:type="auto"/>
            <w:vAlign w:val="center"/>
            <w:hideMark/>
          </w:tcPr>
          <w:p w14:paraId="52E6F58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Low</w:t>
            </w:r>
          </w:p>
        </w:tc>
        <w:tc>
          <w:tcPr>
            <w:tcW w:w="0" w:type="auto"/>
            <w:vAlign w:val="center"/>
            <w:hideMark/>
          </w:tcPr>
          <w:p w14:paraId="01653494"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Revenue predictability</w:t>
            </w:r>
          </w:p>
        </w:tc>
      </w:tr>
      <w:tr w:rsidR="003E307C" w:rsidRPr="003E307C" w14:paraId="2C7A4EB7" w14:textId="77777777">
        <w:trPr>
          <w:tblCellSpacing w:w="15" w:type="dxa"/>
        </w:trPr>
        <w:tc>
          <w:tcPr>
            <w:tcW w:w="0" w:type="auto"/>
            <w:vAlign w:val="center"/>
            <w:hideMark/>
          </w:tcPr>
          <w:p w14:paraId="3DABC819"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CV commoditization</w:t>
            </w:r>
          </w:p>
        </w:tc>
        <w:tc>
          <w:tcPr>
            <w:tcW w:w="0" w:type="auto"/>
            <w:vAlign w:val="center"/>
            <w:hideMark/>
          </w:tcPr>
          <w:p w14:paraId="022832CD"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Outcome data flywheel + published benchmarks</w:t>
            </w:r>
          </w:p>
        </w:tc>
        <w:tc>
          <w:tcPr>
            <w:tcW w:w="0" w:type="auto"/>
            <w:vAlign w:val="center"/>
            <w:hideMark/>
          </w:tcPr>
          <w:p w14:paraId="5B3197D2"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6–24 months</w:t>
            </w:r>
          </w:p>
        </w:tc>
        <w:tc>
          <w:tcPr>
            <w:tcW w:w="0" w:type="auto"/>
            <w:vAlign w:val="center"/>
            <w:hideMark/>
          </w:tcPr>
          <w:p w14:paraId="189A39B9"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Medium</w:t>
            </w:r>
          </w:p>
        </w:tc>
        <w:tc>
          <w:tcPr>
            <w:tcW w:w="0" w:type="auto"/>
            <w:vAlign w:val="center"/>
            <w:hideMark/>
          </w:tcPr>
          <w:p w14:paraId="6FA51DEF"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Data network effect</w:t>
            </w:r>
          </w:p>
        </w:tc>
      </w:tr>
      <w:tr w:rsidR="003E307C" w:rsidRPr="003E307C" w14:paraId="2D512B9C" w14:textId="77777777">
        <w:trPr>
          <w:tblCellSpacing w:w="15" w:type="dxa"/>
        </w:trPr>
        <w:tc>
          <w:tcPr>
            <w:tcW w:w="0" w:type="auto"/>
            <w:vAlign w:val="center"/>
            <w:hideMark/>
          </w:tcPr>
          <w:p w14:paraId="6B2A83BE"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lastRenderedPageBreak/>
              <w:t>Long enterprise sales cycles</w:t>
            </w:r>
          </w:p>
        </w:tc>
        <w:tc>
          <w:tcPr>
            <w:tcW w:w="0" w:type="auto"/>
            <w:vAlign w:val="center"/>
            <w:hideMark/>
          </w:tcPr>
          <w:p w14:paraId="590CF1E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Mid-market first + buying group partnerships</w:t>
            </w:r>
          </w:p>
        </w:tc>
        <w:tc>
          <w:tcPr>
            <w:tcW w:w="0" w:type="auto"/>
            <w:vAlign w:val="center"/>
            <w:hideMark/>
          </w:tcPr>
          <w:p w14:paraId="60A8271E"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6–18 months</w:t>
            </w:r>
          </w:p>
        </w:tc>
        <w:tc>
          <w:tcPr>
            <w:tcW w:w="0" w:type="auto"/>
            <w:vAlign w:val="center"/>
            <w:hideMark/>
          </w:tcPr>
          <w:p w14:paraId="2DF196B2"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Medium</w:t>
            </w:r>
          </w:p>
        </w:tc>
        <w:tc>
          <w:tcPr>
            <w:tcW w:w="0" w:type="auto"/>
            <w:vAlign w:val="center"/>
            <w:hideMark/>
          </w:tcPr>
          <w:p w14:paraId="282EFA9D"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Reference customer base</w:t>
            </w:r>
          </w:p>
        </w:tc>
      </w:tr>
      <w:tr w:rsidR="003E307C" w:rsidRPr="003E307C" w14:paraId="5D9A3123" w14:textId="77777777">
        <w:trPr>
          <w:tblCellSpacing w:w="15" w:type="dxa"/>
        </w:trPr>
        <w:tc>
          <w:tcPr>
            <w:tcW w:w="0" w:type="auto"/>
            <w:vAlign w:val="center"/>
            <w:hideMark/>
          </w:tcPr>
          <w:p w14:paraId="1E02B998"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Conservative OD buyers</w:t>
            </w:r>
          </w:p>
        </w:tc>
        <w:tc>
          <w:tcPr>
            <w:tcW w:w="0" w:type="auto"/>
            <w:vAlign w:val="center"/>
            <w:hideMark/>
          </w:tcPr>
          <w:p w14:paraId="6996BF5A"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CE credits + peer-reviewed data + augmentation narrative</w:t>
            </w:r>
          </w:p>
        </w:tc>
        <w:tc>
          <w:tcPr>
            <w:tcW w:w="0" w:type="auto"/>
            <w:vAlign w:val="center"/>
            <w:hideMark/>
          </w:tcPr>
          <w:p w14:paraId="5737D64E"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6–18 months</w:t>
            </w:r>
          </w:p>
        </w:tc>
        <w:tc>
          <w:tcPr>
            <w:tcW w:w="0" w:type="auto"/>
            <w:vAlign w:val="center"/>
            <w:hideMark/>
          </w:tcPr>
          <w:p w14:paraId="14255CC9"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Low–Medium</w:t>
            </w:r>
          </w:p>
        </w:tc>
        <w:tc>
          <w:tcPr>
            <w:tcW w:w="0" w:type="auto"/>
            <w:vAlign w:val="center"/>
            <w:hideMark/>
          </w:tcPr>
          <w:p w14:paraId="78653474"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Professional credibility</w:t>
            </w:r>
          </w:p>
        </w:tc>
      </w:tr>
      <w:tr w:rsidR="003E307C" w:rsidRPr="003E307C" w14:paraId="44D2FB21" w14:textId="77777777">
        <w:trPr>
          <w:tblCellSpacing w:w="15" w:type="dxa"/>
        </w:trPr>
        <w:tc>
          <w:tcPr>
            <w:tcW w:w="0" w:type="auto"/>
            <w:vAlign w:val="center"/>
            <w:hideMark/>
          </w:tcPr>
          <w:p w14:paraId="7F5BF43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Compliance burden</w:t>
            </w:r>
          </w:p>
        </w:tc>
        <w:tc>
          <w:tcPr>
            <w:tcW w:w="0" w:type="auto"/>
            <w:vAlign w:val="center"/>
            <w:hideMark/>
          </w:tcPr>
          <w:p w14:paraId="05B5B0EA"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HIPAA/SOC 2 from day one + AWS HealthLake</w:t>
            </w:r>
          </w:p>
        </w:tc>
        <w:tc>
          <w:tcPr>
            <w:tcW w:w="0" w:type="auto"/>
            <w:vAlign w:val="center"/>
            <w:hideMark/>
          </w:tcPr>
          <w:p w14:paraId="2650B1F0"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0–12 months</w:t>
            </w:r>
          </w:p>
        </w:tc>
        <w:tc>
          <w:tcPr>
            <w:tcW w:w="0" w:type="auto"/>
            <w:vAlign w:val="center"/>
            <w:hideMark/>
          </w:tcPr>
          <w:p w14:paraId="00C70F1F"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Medium</w:t>
            </w:r>
          </w:p>
        </w:tc>
        <w:tc>
          <w:tcPr>
            <w:tcW w:w="0" w:type="auto"/>
            <w:vAlign w:val="center"/>
            <w:hideMark/>
          </w:tcPr>
          <w:p w14:paraId="6F9BBDF3"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Competitor barrier to entry</w:t>
            </w:r>
          </w:p>
        </w:tc>
      </w:tr>
      <w:tr w:rsidR="003E307C" w:rsidRPr="003E307C" w14:paraId="53572CA6" w14:textId="77777777">
        <w:trPr>
          <w:tblCellSpacing w:w="15" w:type="dxa"/>
        </w:trPr>
        <w:tc>
          <w:tcPr>
            <w:tcW w:w="0" w:type="auto"/>
            <w:vAlign w:val="center"/>
            <w:hideMark/>
          </w:tcPr>
          <w:p w14:paraId="6CF8FCE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Competitor opportunity window</w:t>
            </w:r>
          </w:p>
        </w:tc>
        <w:tc>
          <w:tcPr>
            <w:tcW w:w="0" w:type="auto"/>
            <w:vAlign w:val="center"/>
            <w:hideMark/>
          </w:tcPr>
          <w:p w14:paraId="270BE511"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Dual-track both strategies + acquire distribution</w:t>
            </w:r>
          </w:p>
        </w:tc>
        <w:tc>
          <w:tcPr>
            <w:tcW w:w="0" w:type="auto"/>
            <w:vAlign w:val="center"/>
            <w:hideMark/>
          </w:tcPr>
          <w:p w14:paraId="0E5F9645"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0–24 months</w:t>
            </w:r>
          </w:p>
        </w:tc>
        <w:tc>
          <w:tcPr>
            <w:tcW w:w="0" w:type="auto"/>
            <w:vAlign w:val="center"/>
            <w:hideMark/>
          </w:tcPr>
          <w:p w14:paraId="0414876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High</w:t>
            </w:r>
          </w:p>
        </w:tc>
        <w:tc>
          <w:tcPr>
            <w:tcW w:w="0" w:type="auto"/>
            <w:vAlign w:val="center"/>
            <w:hideMark/>
          </w:tcPr>
          <w:p w14:paraId="229BF01C" w14:textId="77777777" w:rsidR="003E307C" w:rsidRPr="003E307C" w:rsidRDefault="003E307C" w:rsidP="003E307C">
            <w:pPr>
              <w:spacing w:after="0"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Category ownership</w:t>
            </w:r>
          </w:p>
        </w:tc>
      </w:tr>
    </w:tbl>
    <w:p w14:paraId="5258CB46" w14:textId="77777777" w:rsidR="003E307C" w:rsidRPr="003E307C" w:rsidRDefault="009D55B4" w:rsidP="003E307C">
      <w:pPr>
        <w:spacing w:after="0" w:line="240" w:lineRule="auto"/>
        <w:rPr>
          <w:rFonts w:ascii="Times New Roman" w:eastAsia="Times New Roman" w:hAnsi="Times New Roman" w:cs="Times New Roman"/>
          <w:kern w:val="0"/>
          <w14:ligatures w14:val="none"/>
        </w:rPr>
      </w:pPr>
      <w:r>
        <w:rPr>
          <w:noProof/>
        </w:rPr>
      </w:r>
      <w:r>
        <w:pict w14:anchorId="7C62AFF1">
          <v:rect id="Horizontal Line 5"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37B16A5"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 xml:space="preserve">The single highest-leverage move across both strategies is the </w:t>
      </w:r>
      <w:r w:rsidRPr="003E307C">
        <w:rPr>
          <w:rFonts w:ascii="Times New Roman" w:eastAsia="Times New Roman" w:hAnsi="Times New Roman" w:cs="Times New Roman"/>
          <w:b/>
          <w:bCs/>
          <w:kern w:val="0"/>
          <w14:ligatures w14:val="none"/>
        </w:rPr>
        <w:t>data flywheel</w:t>
      </w:r>
      <w:r w:rsidRPr="003E307C">
        <w:rPr>
          <w:rFonts w:ascii="Times New Roman" w:eastAsia="Times New Roman" w:hAnsi="Times New Roman" w:cs="Times New Roman"/>
          <w:kern w:val="0"/>
          <w14:ligatures w14:val="none"/>
        </w:rPr>
        <w:t xml:space="preserve"> — it's the one asset that compounds over time and becomes structurally impossible for a well-funded competitor to replicate quickly. Everything else buys time; the data flywheel builds the permanent moat.</w:t>
      </w:r>
    </w:p>
    <w:p w14:paraId="14208618" w14:textId="77777777" w:rsidR="003E307C" w:rsidRPr="003E307C" w:rsidRDefault="003E307C" w:rsidP="003E307C">
      <w:pPr>
        <w:spacing w:before="100" w:beforeAutospacing="1" w:after="100" w:afterAutospacing="1" w:line="240" w:lineRule="auto"/>
        <w:rPr>
          <w:rFonts w:ascii="Times New Roman" w:eastAsia="Times New Roman" w:hAnsi="Times New Roman" w:cs="Times New Roman"/>
          <w:kern w:val="0"/>
          <w14:ligatures w14:val="none"/>
        </w:rPr>
      </w:pPr>
      <w:r w:rsidRPr="003E307C">
        <w:rPr>
          <w:rFonts w:ascii="Times New Roman" w:eastAsia="Times New Roman" w:hAnsi="Times New Roman" w:cs="Times New Roman"/>
          <w:kern w:val="0"/>
          <w14:ligatures w14:val="none"/>
        </w:rPr>
        <w:t>Want me to build this into a competitive strategy section in the PRD, or develop a go-to-market plan for the dual-track approach?</w:t>
      </w:r>
    </w:p>
    <w:p w14:paraId="2BF9C242" w14:textId="77777777" w:rsidR="003E307C" w:rsidRDefault="003E307C"/>
    <w:p w14:paraId="3A4DCF18"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Excellent strategic question. Here's a detailed breakdown across pricing architecture, market segmentation, and tactical rollout.</w:t>
      </w:r>
    </w:p>
    <w:p w14:paraId="560E9945" w14:textId="77777777" w:rsidR="00915DA1" w:rsidRPr="00915DA1" w:rsidRDefault="009D55B4" w:rsidP="00915DA1">
      <w:pPr>
        <w:spacing w:after="0" w:line="240" w:lineRule="auto"/>
        <w:rPr>
          <w:rFonts w:ascii="Times New Roman" w:eastAsia="Times New Roman" w:hAnsi="Times New Roman" w:cs="Times New Roman"/>
          <w:kern w:val="0"/>
          <w14:ligatures w14:val="none"/>
        </w:rPr>
      </w:pPr>
      <w:r>
        <w:rPr>
          <w:noProof/>
        </w:rPr>
      </w:r>
      <w:r>
        <w:pict w14:anchorId="60C5C44E">
          <v:rect id="Horizontal Line 19"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091AC5D6"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Why Asymmetry Data Commands a Price Premium</w:t>
      </w:r>
    </w:p>
    <w:p w14:paraId="63244715"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 xml:space="preserve">Before pricing, it's worth establishing </w:t>
      </w:r>
      <w:r w:rsidRPr="00915DA1">
        <w:rPr>
          <w:rFonts w:ascii="Times New Roman" w:eastAsia="Times New Roman" w:hAnsi="Times New Roman" w:cs="Times New Roman"/>
          <w:i/>
          <w:iCs/>
          <w:kern w:val="0"/>
          <w14:ligatures w14:val="none"/>
        </w:rPr>
        <w:t>why</w:t>
      </w:r>
      <w:r w:rsidRPr="00915DA1">
        <w:rPr>
          <w:rFonts w:ascii="Times New Roman" w:eastAsia="Times New Roman" w:hAnsi="Times New Roman" w:cs="Times New Roman"/>
          <w:kern w:val="0"/>
          <w14:ligatures w14:val="none"/>
        </w:rPr>
        <w:t xml:space="preserve"> this is a separable, premium product rather than a feature:</w:t>
      </w:r>
    </w:p>
    <w:p w14:paraId="01C7CE25"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Scarcity:</w:t>
      </w:r>
      <w:r w:rsidRPr="00915DA1">
        <w:rPr>
          <w:rFonts w:ascii="Times New Roman" w:eastAsia="Times New Roman" w:hAnsi="Times New Roman" w:cs="Times New Roman"/>
          <w:kern w:val="0"/>
          <w14:ligatures w14:val="none"/>
        </w:rPr>
        <w:t xml:space="preserve"> No commercially available consumer measurement tool currently reports monocular PD delta, vertical eye offset, and bridge lateral offset as discrete, structured data fields. Clinical pupillometers measure total and monocular PD but not vertical offset or bridge deviation. FaceMetrics would be the only source of this data at consumer scale.</w:t>
      </w:r>
    </w:p>
    <w:p w14:paraId="693C08ED"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High consequence of getting it wrong:</w:t>
      </w:r>
      <w:r w:rsidRPr="00915DA1">
        <w:rPr>
          <w:rFonts w:ascii="Times New Roman" w:eastAsia="Times New Roman" w:hAnsi="Times New Roman" w:cs="Times New Roman"/>
          <w:kern w:val="0"/>
          <w14:ligatures w14:val="none"/>
        </w:rPr>
        <w:t xml:space="preserve"> A 2.5mm monocular PD error on a progressive lens prescription causes headaches, dizziness, and a costly remake. The financial consequence to a retailer of </w:t>
      </w:r>
      <w:r w:rsidRPr="00915DA1">
        <w:rPr>
          <w:rFonts w:ascii="Times New Roman" w:eastAsia="Times New Roman" w:hAnsi="Times New Roman" w:cs="Times New Roman"/>
          <w:i/>
          <w:iCs/>
          <w:kern w:val="0"/>
          <w14:ligatures w14:val="none"/>
        </w:rPr>
        <w:t>not</w:t>
      </w:r>
      <w:r w:rsidRPr="00915DA1">
        <w:rPr>
          <w:rFonts w:ascii="Times New Roman" w:eastAsia="Times New Roman" w:hAnsi="Times New Roman" w:cs="Times New Roman"/>
          <w:kern w:val="0"/>
          <w14:ligatures w14:val="none"/>
        </w:rPr>
        <w:t xml:space="preserve"> having asymmetry data is measurable — remakes typically cost $150–$400 per pair plus labor. One prevented remake per month pays for the asymmetry tier many times over.</w:t>
      </w:r>
    </w:p>
    <w:p w14:paraId="3F2F61BD"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Actionability:</w:t>
      </w:r>
      <w:r w:rsidRPr="00915DA1">
        <w:rPr>
          <w:rFonts w:ascii="Times New Roman" w:eastAsia="Times New Roman" w:hAnsi="Times New Roman" w:cs="Times New Roman"/>
          <w:kern w:val="0"/>
          <w14:ligatures w14:val="none"/>
        </w:rPr>
        <w:t xml:space="preserve"> The data directly drives a specific, high-value action — either a different lens centration specification, a mandatory optician referral, or a frame recommendation adjustment. Data that drives action commands pricing power that informational data does not.</w:t>
      </w:r>
    </w:p>
    <w:p w14:paraId="17C560E3" w14:textId="77777777" w:rsidR="00915DA1" w:rsidRPr="00915DA1" w:rsidRDefault="009D55B4" w:rsidP="00915DA1">
      <w:pPr>
        <w:spacing w:after="0" w:line="240" w:lineRule="auto"/>
        <w:rPr>
          <w:rFonts w:ascii="Times New Roman" w:eastAsia="Times New Roman" w:hAnsi="Times New Roman" w:cs="Times New Roman"/>
          <w:kern w:val="0"/>
          <w14:ligatures w14:val="none"/>
        </w:rPr>
      </w:pPr>
      <w:r w:rsidRPr="009D55B4">
        <w:rPr>
          <w:rFonts w:ascii="Times New Roman" w:eastAsia="Times New Roman" w:hAnsi="Times New Roman" w:cs="Times New Roman"/>
          <w:noProof/>
          <w:kern w:val="0"/>
        </w:rPr>
        <w:lastRenderedPageBreak/>
        <w:pict w14:anchorId="28F2553A">
          <v:rect id="_x0000_i1032" alt="" style="width:468pt;height:.05pt;mso-width-percent:0;mso-height-percent:0;mso-width-percent:0;mso-height-percent:0" o:hralign="center" o:hrstd="t" o:hr="t" fillcolor="#a0a0a0" stroked="f"/>
        </w:pict>
      </w:r>
    </w:p>
    <w:p w14:paraId="0A22940C"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The Pricing Architecture</w:t>
      </w:r>
    </w:p>
    <w:p w14:paraId="6B9650F2"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Asymmetry data should be structured across three distinct revenue layers, each sold separately and to different buyers:</w:t>
      </w:r>
    </w:p>
    <w:p w14:paraId="00AC43C9" w14:textId="77777777" w:rsidR="00915DA1" w:rsidRPr="00915DA1" w:rsidRDefault="009D55B4" w:rsidP="00915DA1">
      <w:pPr>
        <w:spacing w:after="0" w:line="240" w:lineRule="auto"/>
        <w:rPr>
          <w:rFonts w:ascii="Times New Roman" w:eastAsia="Times New Roman" w:hAnsi="Times New Roman" w:cs="Times New Roman"/>
          <w:kern w:val="0"/>
          <w14:ligatures w14:val="none"/>
        </w:rPr>
      </w:pPr>
      <w:r w:rsidRPr="009D55B4">
        <w:rPr>
          <w:rFonts w:ascii="Times New Roman" w:eastAsia="Times New Roman" w:hAnsi="Times New Roman" w:cs="Times New Roman"/>
          <w:noProof/>
          <w:kern w:val="0"/>
        </w:rPr>
        <w:pict w14:anchorId="0F226B1B">
          <v:rect id="_x0000_i1031" alt="" style="width:468pt;height:.05pt;mso-width-percent:0;mso-height-percent:0;mso-width-percent:0;mso-height-percent:0" o:hralign="center" o:hrstd="t" o:hr="t" fillcolor="#a0a0a0" stroked="f"/>
        </w:pict>
      </w:r>
    </w:p>
    <w:p w14:paraId="6BB130D6" w14:textId="77777777" w:rsidR="00915DA1" w:rsidRPr="00915DA1" w:rsidRDefault="00915DA1" w:rsidP="00915D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DA1">
        <w:rPr>
          <w:rFonts w:ascii="Times New Roman" w:eastAsia="Times New Roman" w:hAnsi="Times New Roman" w:cs="Times New Roman"/>
          <w:b/>
          <w:bCs/>
          <w:kern w:val="0"/>
          <w:sz w:val="27"/>
          <w:szCs w:val="27"/>
          <w14:ligatures w14:val="none"/>
        </w:rPr>
        <w:t>Layer 1 — Per-Session Asymmetry Signal (Transactional)</w:t>
      </w:r>
    </w:p>
    <w:p w14:paraId="07AB7224"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 xml:space="preserve">This is the raw asymmetry output appended to every measurement session API response: </w:t>
      </w:r>
      <w:r w:rsidRPr="00915DA1">
        <w:rPr>
          <w:rFonts w:ascii="Courier New" w:eastAsia="Times New Roman" w:hAnsi="Courier New" w:cs="Courier New"/>
          <w:kern w:val="0"/>
          <w:sz w:val="20"/>
          <w:szCs w:val="20"/>
          <w14:ligatures w14:val="none"/>
        </w:rPr>
        <w:t>asymmetry_flag</w:t>
      </w:r>
      <w:r w:rsidRPr="00915DA1">
        <w:rPr>
          <w:rFonts w:ascii="Times New Roman" w:eastAsia="Times New Roman" w:hAnsi="Times New Roman" w:cs="Times New Roman"/>
          <w:kern w:val="0"/>
          <w14:ligatures w14:val="none"/>
        </w:rPr>
        <w:t xml:space="preserve">, </w:t>
      </w:r>
      <w:r w:rsidRPr="00915DA1">
        <w:rPr>
          <w:rFonts w:ascii="Courier New" w:eastAsia="Times New Roman" w:hAnsi="Courier New" w:cs="Courier New"/>
          <w:kern w:val="0"/>
          <w:sz w:val="20"/>
          <w:szCs w:val="20"/>
          <w14:ligatures w14:val="none"/>
        </w:rPr>
        <w:t>asymmetry_severity</w:t>
      </w:r>
      <w:r w:rsidRPr="00915DA1">
        <w:rPr>
          <w:rFonts w:ascii="Times New Roman" w:eastAsia="Times New Roman" w:hAnsi="Times New Roman" w:cs="Times New Roman"/>
          <w:kern w:val="0"/>
          <w14:ligatures w14:val="none"/>
        </w:rPr>
        <w:t xml:space="preserve">, </w:t>
      </w:r>
      <w:r w:rsidRPr="00915DA1">
        <w:rPr>
          <w:rFonts w:ascii="Courier New" w:eastAsia="Times New Roman" w:hAnsi="Courier New" w:cs="Courier New"/>
          <w:kern w:val="0"/>
          <w:sz w:val="20"/>
          <w:szCs w:val="20"/>
          <w14:ligatures w14:val="none"/>
        </w:rPr>
        <w:t>pd_delta_mm</w:t>
      </w:r>
      <w:r w:rsidRPr="00915DA1">
        <w:rPr>
          <w:rFonts w:ascii="Times New Roman" w:eastAsia="Times New Roman" w:hAnsi="Times New Roman" w:cs="Times New Roman"/>
          <w:kern w:val="0"/>
          <w14:ligatures w14:val="none"/>
        </w:rPr>
        <w:t xml:space="preserve">, </w:t>
      </w:r>
      <w:r w:rsidRPr="00915DA1">
        <w:rPr>
          <w:rFonts w:ascii="Courier New" w:eastAsia="Times New Roman" w:hAnsi="Courier New" w:cs="Courier New"/>
          <w:kern w:val="0"/>
          <w:sz w:val="20"/>
          <w:szCs w:val="20"/>
          <w14:ligatures w14:val="none"/>
        </w:rPr>
        <w:t>vertical_eye_offset_mm</w:t>
      </w:r>
      <w:r w:rsidRPr="00915DA1">
        <w:rPr>
          <w:rFonts w:ascii="Times New Roman" w:eastAsia="Times New Roman" w:hAnsi="Times New Roman" w:cs="Times New Roman"/>
          <w:kern w:val="0"/>
          <w14:ligatures w14:val="none"/>
        </w:rPr>
        <w:t xml:space="preserve">, </w:t>
      </w:r>
      <w:r w:rsidRPr="00915DA1">
        <w:rPr>
          <w:rFonts w:ascii="Courier New" w:eastAsia="Times New Roman" w:hAnsi="Courier New" w:cs="Courier New"/>
          <w:kern w:val="0"/>
          <w:sz w:val="20"/>
          <w:szCs w:val="20"/>
          <w14:ligatures w14:val="none"/>
        </w:rPr>
        <w:t>bridge_lateral_offset_mm</w:t>
      </w:r>
      <w:r w:rsidRPr="00915DA1">
        <w:rPr>
          <w:rFonts w:ascii="Times New Roman" w:eastAsia="Times New Roman" w:hAnsi="Times New Roman" w:cs="Times New Roman"/>
          <w:kern w:val="0"/>
          <w14:ligatures w14:val="none"/>
        </w:rPr>
        <w:t>.</w:t>
      </w:r>
    </w:p>
    <w:p w14:paraId="57467969"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Pricing model:</w:t>
      </w:r>
      <w:r w:rsidRPr="00915DA1">
        <w:rPr>
          <w:rFonts w:ascii="Times New Roman" w:eastAsia="Times New Roman" w:hAnsi="Times New Roman" w:cs="Times New Roman"/>
          <w:kern w:val="0"/>
          <w14:ligatures w14:val="none"/>
        </w:rPr>
        <w:t xml:space="preserve"> Add-on to base session price, billed per session consumed.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1555"/>
        <w:gridCol w:w="1811"/>
        <w:gridCol w:w="1477"/>
        <w:gridCol w:w="2250"/>
      </w:tblGrid>
      <w:tr w:rsidR="00915DA1" w:rsidRPr="00915DA1" w14:paraId="4FAB9545" w14:textId="77777777">
        <w:trPr>
          <w:tblHeader/>
          <w:tblCellSpacing w:w="15" w:type="dxa"/>
        </w:trPr>
        <w:tc>
          <w:tcPr>
            <w:tcW w:w="0" w:type="auto"/>
            <w:vAlign w:val="center"/>
            <w:hideMark/>
          </w:tcPr>
          <w:p w14:paraId="45ACA309"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Tier</w:t>
            </w:r>
          </w:p>
        </w:tc>
        <w:tc>
          <w:tcPr>
            <w:tcW w:w="0" w:type="auto"/>
            <w:vAlign w:val="center"/>
            <w:hideMark/>
          </w:tcPr>
          <w:p w14:paraId="0AF76DB5"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Base Session Price</w:t>
            </w:r>
          </w:p>
        </w:tc>
        <w:tc>
          <w:tcPr>
            <w:tcW w:w="0" w:type="auto"/>
            <w:vAlign w:val="center"/>
            <w:hideMark/>
          </w:tcPr>
          <w:p w14:paraId="51387FA3"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Asymmetry Add-on</w:t>
            </w:r>
          </w:p>
        </w:tc>
        <w:tc>
          <w:tcPr>
            <w:tcW w:w="0" w:type="auto"/>
            <w:vAlign w:val="center"/>
            <w:hideMark/>
          </w:tcPr>
          <w:p w14:paraId="7F85639B"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Total per Session</w:t>
            </w:r>
          </w:p>
        </w:tc>
        <w:tc>
          <w:tcPr>
            <w:tcW w:w="0" w:type="auto"/>
            <w:vAlign w:val="center"/>
            <w:hideMark/>
          </w:tcPr>
          <w:p w14:paraId="3B4B37E1"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Target Buyer</w:t>
            </w:r>
          </w:p>
        </w:tc>
      </w:tr>
      <w:tr w:rsidR="00915DA1" w:rsidRPr="00915DA1" w14:paraId="1417149E" w14:textId="77777777">
        <w:trPr>
          <w:tblCellSpacing w:w="15" w:type="dxa"/>
        </w:trPr>
        <w:tc>
          <w:tcPr>
            <w:tcW w:w="0" w:type="auto"/>
            <w:vAlign w:val="center"/>
            <w:hideMark/>
          </w:tcPr>
          <w:p w14:paraId="048A4C71"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Starter (free)</w:t>
            </w:r>
          </w:p>
        </w:tc>
        <w:tc>
          <w:tcPr>
            <w:tcW w:w="0" w:type="auto"/>
            <w:vAlign w:val="center"/>
            <w:hideMark/>
          </w:tcPr>
          <w:p w14:paraId="48A32C65"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w:t>
            </w:r>
          </w:p>
        </w:tc>
        <w:tc>
          <w:tcPr>
            <w:tcW w:w="0" w:type="auto"/>
            <w:vAlign w:val="center"/>
            <w:hideMark/>
          </w:tcPr>
          <w:p w14:paraId="36EAF20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Not available</w:t>
            </w:r>
          </w:p>
        </w:tc>
        <w:tc>
          <w:tcPr>
            <w:tcW w:w="0" w:type="auto"/>
            <w:vAlign w:val="center"/>
            <w:hideMark/>
          </w:tcPr>
          <w:p w14:paraId="6E533654"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w:t>
            </w:r>
          </w:p>
        </w:tc>
        <w:tc>
          <w:tcPr>
            <w:tcW w:w="0" w:type="auto"/>
            <w:vAlign w:val="center"/>
            <w:hideMark/>
          </w:tcPr>
          <w:p w14:paraId="09581B2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Developers, hobbyists</w:t>
            </w:r>
          </w:p>
        </w:tc>
      </w:tr>
      <w:tr w:rsidR="00915DA1" w:rsidRPr="00915DA1" w14:paraId="2E8FF1B9" w14:textId="77777777">
        <w:trPr>
          <w:tblCellSpacing w:w="15" w:type="dxa"/>
        </w:trPr>
        <w:tc>
          <w:tcPr>
            <w:tcW w:w="0" w:type="auto"/>
            <w:vAlign w:val="center"/>
            <w:hideMark/>
          </w:tcPr>
          <w:p w14:paraId="547EBCA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Growth</w:t>
            </w:r>
          </w:p>
        </w:tc>
        <w:tc>
          <w:tcPr>
            <w:tcW w:w="0" w:type="auto"/>
            <w:vAlign w:val="center"/>
            <w:hideMark/>
          </w:tcPr>
          <w:p w14:paraId="1D172E0E"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$0.08</w:t>
            </w:r>
          </w:p>
        </w:tc>
        <w:tc>
          <w:tcPr>
            <w:tcW w:w="0" w:type="auto"/>
            <w:vAlign w:val="center"/>
            <w:hideMark/>
          </w:tcPr>
          <w:p w14:paraId="1D4E801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+$0.04</w:t>
            </w:r>
          </w:p>
        </w:tc>
        <w:tc>
          <w:tcPr>
            <w:tcW w:w="0" w:type="auto"/>
            <w:vAlign w:val="center"/>
            <w:hideMark/>
          </w:tcPr>
          <w:p w14:paraId="6794C44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$0.12</w:t>
            </w:r>
          </w:p>
        </w:tc>
        <w:tc>
          <w:tcPr>
            <w:tcW w:w="0" w:type="auto"/>
            <w:vAlign w:val="center"/>
            <w:hideMark/>
          </w:tcPr>
          <w:p w14:paraId="5139B98B"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DTC brands, small optical</w:t>
            </w:r>
          </w:p>
        </w:tc>
      </w:tr>
      <w:tr w:rsidR="00915DA1" w:rsidRPr="00915DA1" w14:paraId="13D4394E" w14:textId="77777777">
        <w:trPr>
          <w:tblCellSpacing w:w="15" w:type="dxa"/>
        </w:trPr>
        <w:tc>
          <w:tcPr>
            <w:tcW w:w="0" w:type="auto"/>
            <w:vAlign w:val="center"/>
            <w:hideMark/>
          </w:tcPr>
          <w:p w14:paraId="63391315"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Professional</w:t>
            </w:r>
          </w:p>
        </w:tc>
        <w:tc>
          <w:tcPr>
            <w:tcW w:w="0" w:type="auto"/>
            <w:vAlign w:val="center"/>
            <w:hideMark/>
          </w:tcPr>
          <w:p w14:paraId="1F9DF46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$0.06</w:t>
            </w:r>
          </w:p>
        </w:tc>
        <w:tc>
          <w:tcPr>
            <w:tcW w:w="0" w:type="auto"/>
            <w:vAlign w:val="center"/>
            <w:hideMark/>
          </w:tcPr>
          <w:p w14:paraId="09B6033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+$0.03</w:t>
            </w:r>
          </w:p>
        </w:tc>
        <w:tc>
          <w:tcPr>
            <w:tcW w:w="0" w:type="auto"/>
            <w:vAlign w:val="center"/>
            <w:hideMark/>
          </w:tcPr>
          <w:p w14:paraId="26A608C2"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$0.09</w:t>
            </w:r>
          </w:p>
        </w:tc>
        <w:tc>
          <w:tcPr>
            <w:tcW w:w="0" w:type="auto"/>
            <w:vAlign w:val="center"/>
            <w:hideMark/>
          </w:tcPr>
          <w:p w14:paraId="4AAAC1A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Mid-market retailers</w:t>
            </w:r>
          </w:p>
        </w:tc>
      </w:tr>
      <w:tr w:rsidR="00915DA1" w:rsidRPr="00915DA1" w14:paraId="50B96532" w14:textId="77777777">
        <w:trPr>
          <w:tblCellSpacing w:w="15" w:type="dxa"/>
        </w:trPr>
        <w:tc>
          <w:tcPr>
            <w:tcW w:w="0" w:type="auto"/>
            <w:vAlign w:val="center"/>
            <w:hideMark/>
          </w:tcPr>
          <w:p w14:paraId="4FA70EB2"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Enterprise</w:t>
            </w:r>
          </w:p>
        </w:tc>
        <w:tc>
          <w:tcPr>
            <w:tcW w:w="0" w:type="auto"/>
            <w:vAlign w:val="center"/>
            <w:hideMark/>
          </w:tcPr>
          <w:p w14:paraId="56EBA6B1"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$0.04</w:t>
            </w:r>
          </w:p>
        </w:tc>
        <w:tc>
          <w:tcPr>
            <w:tcW w:w="0" w:type="auto"/>
            <w:vAlign w:val="center"/>
            <w:hideMark/>
          </w:tcPr>
          <w:p w14:paraId="2966C0F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+$0.02</w:t>
            </w:r>
          </w:p>
        </w:tc>
        <w:tc>
          <w:tcPr>
            <w:tcW w:w="0" w:type="auto"/>
            <w:vAlign w:val="center"/>
            <w:hideMark/>
          </w:tcPr>
          <w:p w14:paraId="6604EC4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$0.06</w:t>
            </w:r>
          </w:p>
        </w:tc>
        <w:tc>
          <w:tcPr>
            <w:tcW w:w="0" w:type="auto"/>
            <w:vAlign w:val="center"/>
            <w:hideMark/>
          </w:tcPr>
          <w:p w14:paraId="65E9ADB2"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Chains, telehealth platforms</w:t>
            </w:r>
          </w:p>
        </w:tc>
      </w:tr>
      <w:tr w:rsidR="00915DA1" w:rsidRPr="00915DA1" w14:paraId="230087C9" w14:textId="77777777">
        <w:trPr>
          <w:tblCellSpacing w:w="15" w:type="dxa"/>
        </w:trPr>
        <w:tc>
          <w:tcPr>
            <w:tcW w:w="0" w:type="auto"/>
            <w:vAlign w:val="center"/>
            <w:hideMark/>
          </w:tcPr>
          <w:p w14:paraId="736C1FB4"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Volume (1M+ sessions/mo)</w:t>
            </w:r>
          </w:p>
        </w:tc>
        <w:tc>
          <w:tcPr>
            <w:tcW w:w="0" w:type="auto"/>
            <w:vAlign w:val="center"/>
            <w:hideMark/>
          </w:tcPr>
          <w:p w14:paraId="160935D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$0.025</w:t>
            </w:r>
          </w:p>
        </w:tc>
        <w:tc>
          <w:tcPr>
            <w:tcW w:w="0" w:type="auto"/>
            <w:vAlign w:val="center"/>
            <w:hideMark/>
          </w:tcPr>
          <w:p w14:paraId="7A63B09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+$0.01</w:t>
            </w:r>
          </w:p>
        </w:tc>
        <w:tc>
          <w:tcPr>
            <w:tcW w:w="0" w:type="auto"/>
            <w:vAlign w:val="center"/>
            <w:hideMark/>
          </w:tcPr>
          <w:p w14:paraId="5D7AFDED"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$0.035</w:t>
            </w:r>
          </w:p>
        </w:tc>
        <w:tc>
          <w:tcPr>
            <w:tcW w:w="0" w:type="auto"/>
            <w:vAlign w:val="center"/>
            <w:hideMark/>
          </w:tcPr>
          <w:p w14:paraId="526C6236"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Large platform integrators</w:t>
            </w:r>
          </w:p>
        </w:tc>
      </w:tr>
    </w:tbl>
    <w:p w14:paraId="6665FF83"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Rationale for these price points:</w:t>
      </w:r>
    </w:p>
    <w:p w14:paraId="72082818"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The base session price of $0.04–$0.08 is benchmarked against comparable computer vision API pricing — Google Vision API charges $0.0015 per feature per image at scale, but FaceMetrics is a multi-step pipeline with calibration, 30-frame averaging, and quality scoring, making it meaningfully more compute-intensive. The asymmetry add-on at roughly 33–50% of base session cost reflects the additional landmark processing, pose correction, and output generation required.</w:t>
      </w:r>
    </w:p>
    <w:p w14:paraId="3DF702F3"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At $0.04 per session for asymmetry on the Growth tier, a DTC brand doing 5,000 sessions per month pays $200/month for asymmetry data. If that data prevents even two remakes at $200 each, the ROI is 2x in month one. This makes asymmetry feel like insurance with a guaranteed payout, not a software feature.</w:t>
      </w:r>
    </w:p>
    <w:p w14:paraId="48390336"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What to bundle in:</w:t>
      </w:r>
    </w:p>
    <w:p w14:paraId="4E3D0DC7" w14:textId="77777777" w:rsidR="00915DA1" w:rsidRPr="00915DA1" w:rsidRDefault="00915DA1" w:rsidP="00915D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lastRenderedPageBreak/>
        <w:t>Raw metric values (all five asymmetry fields)</w:t>
      </w:r>
    </w:p>
    <w:p w14:paraId="174658FF" w14:textId="77777777" w:rsidR="00915DA1" w:rsidRPr="00915DA1" w:rsidRDefault="00915DA1" w:rsidP="00915D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Severity classification</w:t>
      </w:r>
    </w:p>
    <w:p w14:paraId="00D0EFFA" w14:textId="77777777" w:rsidR="00915DA1" w:rsidRPr="00915DA1" w:rsidRDefault="00915DA1" w:rsidP="00915D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Courier New" w:eastAsia="Times New Roman" w:hAnsi="Courier New" w:cs="Courier New"/>
          <w:kern w:val="0"/>
          <w:sz w:val="20"/>
          <w:szCs w:val="20"/>
          <w14:ligatures w14:val="none"/>
        </w:rPr>
        <w:t>recommended_action</w:t>
      </w:r>
      <w:r w:rsidRPr="00915DA1">
        <w:rPr>
          <w:rFonts w:ascii="Times New Roman" w:eastAsia="Times New Roman" w:hAnsi="Times New Roman" w:cs="Times New Roman"/>
          <w:kern w:val="0"/>
          <w14:ligatures w14:val="none"/>
        </w:rPr>
        <w:t xml:space="preserve"> string (e.g., "consult optician for progressive fitting")</w:t>
      </w:r>
    </w:p>
    <w:p w14:paraId="6A930C48" w14:textId="77777777" w:rsidR="00915DA1" w:rsidRPr="00915DA1" w:rsidRDefault="00915DA1" w:rsidP="00915DA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 xml:space="preserve">Webhook trigger for </w:t>
      </w:r>
      <w:r w:rsidRPr="00915DA1">
        <w:rPr>
          <w:rFonts w:ascii="Courier New" w:eastAsia="Times New Roman" w:hAnsi="Courier New" w:cs="Courier New"/>
          <w:kern w:val="0"/>
          <w:sz w:val="20"/>
          <w:szCs w:val="20"/>
          <w14:ligatures w14:val="none"/>
        </w:rPr>
        <w:t>session.asymmetry_detected</w:t>
      </w:r>
    </w:p>
    <w:p w14:paraId="264B046B" w14:textId="77777777" w:rsidR="00915DA1" w:rsidRPr="00915DA1" w:rsidRDefault="009D55B4" w:rsidP="00915DA1">
      <w:pPr>
        <w:spacing w:after="0" w:line="240" w:lineRule="auto"/>
        <w:rPr>
          <w:rFonts w:ascii="Times New Roman" w:eastAsia="Times New Roman" w:hAnsi="Times New Roman" w:cs="Times New Roman"/>
          <w:kern w:val="0"/>
          <w14:ligatures w14:val="none"/>
        </w:rPr>
      </w:pPr>
      <w:r>
        <w:rPr>
          <w:noProof/>
        </w:rPr>
      </w:r>
      <w:r>
        <w:pict w14:anchorId="54F220D7">
          <v:rect id="Horizontal Line 22"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6F54F25" w14:textId="77777777" w:rsidR="00915DA1" w:rsidRPr="00915DA1" w:rsidRDefault="00915DA1" w:rsidP="00915D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DA1">
        <w:rPr>
          <w:rFonts w:ascii="Times New Roman" w:eastAsia="Times New Roman" w:hAnsi="Times New Roman" w:cs="Times New Roman"/>
          <w:b/>
          <w:bCs/>
          <w:kern w:val="0"/>
          <w:sz w:val="27"/>
          <w:szCs w:val="27"/>
          <w14:ligatures w14:val="none"/>
        </w:rPr>
        <w:t>Layer 2 — Asymmetry Analytics Dashboard (Platform SaaS)</w:t>
      </w:r>
    </w:p>
    <w:p w14:paraId="2BEA02DA"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This is a separate web dashboard — not API data — giving retailers and brands aggregate visibility into asymmetry patterns across their customer base. This is where the real pricing power lives because it creates organizational dependency, not just API dependency.</w:t>
      </w:r>
    </w:p>
    <w:p w14:paraId="4B7C38D1"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What the dashboard shows:</w:t>
      </w:r>
    </w:p>
    <w:p w14:paraId="779C78AC"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Asymmetry prevalence rate across their customer population (typically 35–45% of users will show mild+ asymmetry)</w:t>
      </w:r>
    </w:p>
    <w:p w14:paraId="48CE5B04"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Correlation between asymmetry severity and return/remake rate from their connected order data</w:t>
      </w:r>
    </w:p>
    <w:p w14:paraId="2F867DF3"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Frame recommendation accuracy score — how often their frame suggestions aligned with asymmetry-adjusted fit parameters</w:t>
      </w:r>
    </w:p>
    <w:p w14:paraId="559A906B"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Cohort analysis: asymmetry rates by age bracket, gender, geography</w:t>
      </w:r>
    </w:p>
    <w:p w14:paraId="25A33B1B"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Alert feed: sessions where asymmetry was severe enough to warrant optician referral, with follow-up status tracking</w:t>
      </w:r>
    </w:p>
    <w:p w14:paraId="021F334F" w14:textId="77777777" w:rsidR="00915DA1" w:rsidRPr="00915DA1" w:rsidRDefault="00915DA1" w:rsidP="00915DA1">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Monthly asymmetry report as a PDF export for QBRs and clinical audits</w:t>
      </w:r>
    </w:p>
    <w:p w14:paraId="02000F88"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Pricing model:</w:t>
      </w:r>
      <w:r w:rsidRPr="00915DA1">
        <w:rPr>
          <w:rFonts w:ascii="Times New Roman" w:eastAsia="Times New Roman" w:hAnsi="Times New Roman" w:cs="Times New Roman"/>
          <w:kern w:val="0"/>
          <w14:ligatures w14:val="none"/>
        </w:rPr>
        <w:t xml:space="preserve"> Monthly SaaS fee, tiered by seat count and session volume feeding the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1237"/>
        <w:gridCol w:w="1932"/>
        <w:gridCol w:w="1034"/>
        <w:gridCol w:w="1312"/>
        <w:gridCol w:w="2342"/>
      </w:tblGrid>
      <w:tr w:rsidR="00915DA1" w:rsidRPr="00915DA1" w14:paraId="4E434C81" w14:textId="77777777">
        <w:trPr>
          <w:tblHeader/>
          <w:tblCellSpacing w:w="15" w:type="dxa"/>
        </w:trPr>
        <w:tc>
          <w:tcPr>
            <w:tcW w:w="0" w:type="auto"/>
            <w:vAlign w:val="center"/>
            <w:hideMark/>
          </w:tcPr>
          <w:p w14:paraId="57607FDE"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Plan</w:t>
            </w:r>
          </w:p>
        </w:tc>
        <w:tc>
          <w:tcPr>
            <w:tcW w:w="0" w:type="auto"/>
            <w:vAlign w:val="center"/>
            <w:hideMark/>
          </w:tcPr>
          <w:p w14:paraId="2C163F9C"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Monthly Fee</w:t>
            </w:r>
          </w:p>
        </w:tc>
        <w:tc>
          <w:tcPr>
            <w:tcW w:w="0" w:type="auto"/>
            <w:vAlign w:val="center"/>
            <w:hideMark/>
          </w:tcPr>
          <w:p w14:paraId="6C931F4F"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Sessions Included</w:t>
            </w:r>
          </w:p>
        </w:tc>
        <w:tc>
          <w:tcPr>
            <w:tcW w:w="0" w:type="auto"/>
            <w:vAlign w:val="center"/>
            <w:hideMark/>
          </w:tcPr>
          <w:p w14:paraId="6324F928"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Seats</w:t>
            </w:r>
          </w:p>
        </w:tc>
        <w:tc>
          <w:tcPr>
            <w:tcW w:w="0" w:type="auto"/>
            <w:vAlign w:val="center"/>
            <w:hideMark/>
          </w:tcPr>
          <w:p w14:paraId="1C775D1C"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Retention</w:t>
            </w:r>
          </w:p>
        </w:tc>
        <w:tc>
          <w:tcPr>
            <w:tcW w:w="0" w:type="auto"/>
            <w:vAlign w:val="center"/>
            <w:hideMark/>
          </w:tcPr>
          <w:p w14:paraId="2A3BAC07"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Target</w:t>
            </w:r>
          </w:p>
        </w:tc>
      </w:tr>
      <w:tr w:rsidR="00915DA1" w:rsidRPr="00915DA1" w14:paraId="4438A9CA" w14:textId="77777777">
        <w:trPr>
          <w:tblCellSpacing w:w="15" w:type="dxa"/>
        </w:trPr>
        <w:tc>
          <w:tcPr>
            <w:tcW w:w="0" w:type="auto"/>
            <w:vAlign w:val="center"/>
            <w:hideMark/>
          </w:tcPr>
          <w:p w14:paraId="06DAC10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Insights Starter</w:t>
            </w:r>
          </w:p>
        </w:tc>
        <w:tc>
          <w:tcPr>
            <w:tcW w:w="0" w:type="auto"/>
            <w:vAlign w:val="center"/>
            <w:hideMark/>
          </w:tcPr>
          <w:p w14:paraId="112C5DC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$199/mo</w:t>
            </w:r>
          </w:p>
        </w:tc>
        <w:tc>
          <w:tcPr>
            <w:tcW w:w="0" w:type="auto"/>
            <w:vAlign w:val="center"/>
            <w:hideMark/>
          </w:tcPr>
          <w:p w14:paraId="6E153C4E"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Up to 2,000 sessions/mo</w:t>
            </w:r>
          </w:p>
        </w:tc>
        <w:tc>
          <w:tcPr>
            <w:tcW w:w="0" w:type="auto"/>
            <w:vAlign w:val="center"/>
            <w:hideMark/>
          </w:tcPr>
          <w:p w14:paraId="3FB766F6"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2 seats</w:t>
            </w:r>
          </w:p>
        </w:tc>
        <w:tc>
          <w:tcPr>
            <w:tcW w:w="0" w:type="auto"/>
            <w:vAlign w:val="center"/>
            <w:hideMark/>
          </w:tcPr>
          <w:p w14:paraId="79F5B11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3 months data</w:t>
            </w:r>
          </w:p>
        </w:tc>
        <w:tc>
          <w:tcPr>
            <w:tcW w:w="0" w:type="auto"/>
            <w:vAlign w:val="center"/>
            <w:hideMark/>
          </w:tcPr>
          <w:p w14:paraId="6198F695"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Small DTC, indie opticians</w:t>
            </w:r>
          </w:p>
        </w:tc>
      </w:tr>
      <w:tr w:rsidR="00915DA1" w:rsidRPr="00915DA1" w14:paraId="3A6A7209" w14:textId="77777777">
        <w:trPr>
          <w:tblCellSpacing w:w="15" w:type="dxa"/>
        </w:trPr>
        <w:tc>
          <w:tcPr>
            <w:tcW w:w="0" w:type="auto"/>
            <w:vAlign w:val="center"/>
            <w:hideMark/>
          </w:tcPr>
          <w:p w14:paraId="4CD6874B"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Insights Pro</w:t>
            </w:r>
          </w:p>
        </w:tc>
        <w:tc>
          <w:tcPr>
            <w:tcW w:w="0" w:type="auto"/>
            <w:vAlign w:val="center"/>
            <w:hideMark/>
          </w:tcPr>
          <w:p w14:paraId="5D112B1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$599/mo</w:t>
            </w:r>
          </w:p>
        </w:tc>
        <w:tc>
          <w:tcPr>
            <w:tcW w:w="0" w:type="auto"/>
            <w:vAlign w:val="center"/>
            <w:hideMark/>
          </w:tcPr>
          <w:p w14:paraId="76AE6824"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Up to 10,000 sessions/mo</w:t>
            </w:r>
          </w:p>
        </w:tc>
        <w:tc>
          <w:tcPr>
            <w:tcW w:w="0" w:type="auto"/>
            <w:vAlign w:val="center"/>
            <w:hideMark/>
          </w:tcPr>
          <w:p w14:paraId="1BDE310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5 seats</w:t>
            </w:r>
          </w:p>
        </w:tc>
        <w:tc>
          <w:tcPr>
            <w:tcW w:w="0" w:type="auto"/>
            <w:vAlign w:val="center"/>
            <w:hideMark/>
          </w:tcPr>
          <w:p w14:paraId="360BAE7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12 months data</w:t>
            </w:r>
          </w:p>
        </w:tc>
        <w:tc>
          <w:tcPr>
            <w:tcW w:w="0" w:type="auto"/>
            <w:vAlign w:val="center"/>
            <w:hideMark/>
          </w:tcPr>
          <w:p w14:paraId="792FD0CE"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Regional chains, mid-market</w:t>
            </w:r>
          </w:p>
        </w:tc>
      </w:tr>
      <w:tr w:rsidR="00915DA1" w:rsidRPr="00915DA1" w14:paraId="5177244E" w14:textId="77777777">
        <w:trPr>
          <w:tblCellSpacing w:w="15" w:type="dxa"/>
        </w:trPr>
        <w:tc>
          <w:tcPr>
            <w:tcW w:w="0" w:type="auto"/>
            <w:vAlign w:val="center"/>
            <w:hideMark/>
          </w:tcPr>
          <w:p w14:paraId="20A59F35"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Insights Business</w:t>
            </w:r>
          </w:p>
        </w:tc>
        <w:tc>
          <w:tcPr>
            <w:tcW w:w="0" w:type="auto"/>
            <w:vAlign w:val="center"/>
            <w:hideMark/>
          </w:tcPr>
          <w:p w14:paraId="0CD9893A"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$1,499/mo</w:t>
            </w:r>
          </w:p>
        </w:tc>
        <w:tc>
          <w:tcPr>
            <w:tcW w:w="0" w:type="auto"/>
            <w:vAlign w:val="center"/>
            <w:hideMark/>
          </w:tcPr>
          <w:p w14:paraId="107228CD"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Up to 50,000 sessions/mo</w:t>
            </w:r>
          </w:p>
        </w:tc>
        <w:tc>
          <w:tcPr>
            <w:tcW w:w="0" w:type="auto"/>
            <w:vAlign w:val="center"/>
            <w:hideMark/>
          </w:tcPr>
          <w:p w14:paraId="0693F2D4"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15 seats</w:t>
            </w:r>
          </w:p>
        </w:tc>
        <w:tc>
          <w:tcPr>
            <w:tcW w:w="0" w:type="auto"/>
            <w:vAlign w:val="center"/>
            <w:hideMark/>
          </w:tcPr>
          <w:p w14:paraId="74D764E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24 months data</w:t>
            </w:r>
          </w:p>
        </w:tc>
        <w:tc>
          <w:tcPr>
            <w:tcW w:w="0" w:type="auto"/>
            <w:vAlign w:val="center"/>
            <w:hideMark/>
          </w:tcPr>
          <w:p w14:paraId="06464950"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National chains, telehealth</w:t>
            </w:r>
          </w:p>
        </w:tc>
      </w:tr>
      <w:tr w:rsidR="00915DA1" w:rsidRPr="00915DA1" w14:paraId="4127CB6A" w14:textId="77777777">
        <w:trPr>
          <w:tblCellSpacing w:w="15" w:type="dxa"/>
        </w:trPr>
        <w:tc>
          <w:tcPr>
            <w:tcW w:w="0" w:type="auto"/>
            <w:vAlign w:val="center"/>
            <w:hideMark/>
          </w:tcPr>
          <w:p w14:paraId="62B89E8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Insights Enterprise</w:t>
            </w:r>
          </w:p>
        </w:tc>
        <w:tc>
          <w:tcPr>
            <w:tcW w:w="0" w:type="auto"/>
            <w:vAlign w:val="center"/>
            <w:hideMark/>
          </w:tcPr>
          <w:p w14:paraId="5FA7555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Custom</w:t>
            </w:r>
          </w:p>
        </w:tc>
        <w:tc>
          <w:tcPr>
            <w:tcW w:w="0" w:type="auto"/>
            <w:vAlign w:val="center"/>
            <w:hideMark/>
          </w:tcPr>
          <w:p w14:paraId="318308A9"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Unlimited</w:t>
            </w:r>
          </w:p>
        </w:tc>
        <w:tc>
          <w:tcPr>
            <w:tcW w:w="0" w:type="auto"/>
            <w:vAlign w:val="center"/>
            <w:hideMark/>
          </w:tcPr>
          <w:p w14:paraId="0AF00B7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Unlimited</w:t>
            </w:r>
          </w:p>
        </w:tc>
        <w:tc>
          <w:tcPr>
            <w:tcW w:w="0" w:type="auto"/>
            <w:vAlign w:val="center"/>
            <w:hideMark/>
          </w:tcPr>
          <w:p w14:paraId="35F5C14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36 months+</w:t>
            </w:r>
          </w:p>
        </w:tc>
        <w:tc>
          <w:tcPr>
            <w:tcW w:w="0" w:type="auto"/>
            <w:vAlign w:val="center"/>
            <w:hideMark/>
          </w:tcPr>
          <w:p w14:paraId="3004BF33"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EssilorLuxottica-scale</w:t>
            </w:r>
          </w:p>
        </w:tc>
      </w:tr>
    </w:tbl>
    <w:p w14:paraId="2EB36AB7"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Why these price points hold:</w:t>
      </w:r>
    </w:p>
    <w:p w14:paraId="3411B3B7"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 xml:space="preserve">$199/month is psychologically a no-brainer for a single optician practice that already uses the Growth API tier. It's below the cost of one remake. $599/month for a 5-location regional chain works out to $120 per location — less than a monthly software subscription for any other clinical </w:t>
      </w:r>
      <w:r w:rsidRPr="00915DA1">
        <w:rPr>
          <w:rFonts w:ascii="Times New Roman" w:eastAsia="Times New Roman" w:hAnsi="Times New Roman" w:cs="Times New Roman"/>
          <w:kern w:val="0"/>
          <w14:ligatures w14:val="none"/>
        </w:rPr>
        <w:lastRenderedPageBreak/>
        <w:t>tool they use. At the Business tier, $1,499/month against 50,000 sessions represents $0.03 per session for analytics — a rounding error against the value of preventing even a 0.5% remake reduction across that volume.</w:t>
      </w:r>
    </w:p>
    <w:p w14:paraId="26284707"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The upsell mechanism:</w:t>
      </w:r>
      <w:r w:rsidRPr="00915DA1">
        <w:rPr>
          <w:rFonts w:ascii="Times New Roman" w:eastAsia="Times New Roman" w:hAnsi="Times New Roman" w:cs="Times New Roman"/>
          <w:kern w:val="0"/>
          <w14:ligatures w14:val="none"/>
        </w:rPr>
        <w:t xml:space="preserve"> The dashboard should surface its own ROI monthly. A built-in "Value Summary" widget that calculates </w:t>
      </w:r>
      <w:r w:rsidRPr="00915DA1">
        <w:rPr>
          <w:rFonts w:ascii="Times New Roman" w:eastAsia="Times New Roman" w:hAnsi="Times New Roman" w:cs="Times New Roman"/>
          <w:i/>
          <w:iCs/>
          <w:kern w:val="0"/>
          <w14:ligatures w14:val="none"/>
        </w:rPr>
        <w:t>estimated remakes prevented × average remake cost</w:t>
      </w:r>
      <w:r w:rsidRPr="00915DA1">
        <w:rPr>
          <w:rFonts w:ascii="Times New Roman" w:eastAsia="Times New Roman" w:hAnsi="Times New Roman" w:cs="Times New Roman"/>
          <w:kern w:val="0"/>
          <w14:ligatures w14:val="none"/>
        </w:rPr>
        <w:t xml:space="preserve"> gives the buyer a dollar figure to justify renewal. If the dashboard shows it saved $4,200 in remakes last month, the $599 renewal conversation takes about 30 seconds.</w:t>
      </w:r>
    </w:p>
    <w:p w14:paraId="72399F52" w14:textId="77777777" w:rsidR="00915DA1" w:rsidRPr="00915DA1" w:rsidRDefault="009D55B4" w:rsidP="00915DA1">
      <w:pPr>
        <w:spacing w:after="0" w:line="240" w:lineRule="auto"/>
        <w:rPr>
          <w:rFonts w:ascii="Times New Roman" w:eastAsia="Times New Roman" w:hAnsi="Times New Roman" w:cs="Times New Roman"/>
          <w:kern w:val="0"/>
          <w14:ligatures w14:val="none"/>
        </w:rPr>
      </w:pPr>
      <w:r>
        <w:rPr>
          <w:noProof/>
        </w:rPr>
      </w:r>
      <w:r>
        <w:pict w14:anchorId="3741819C">
          <v:rect id="Horizontal Line 23"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7A20D71" w14:textId="77777777" w:rsidR="00915DA1" w:rsidRPr="00915DA1" w:rsidRDefault="00915DA1" w:rsidP="00915DA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15DA1">
        <w:rPr>
          <w:rFonts w:ascii="Times New Roman" w:eastAsia="Times New Roman" w:hAnsi="Times New Roman" w:cs="Times New Roman"/>
          <w:b/>
          <w:bCs/>
          <w:kern w:val="0"/>
          <w:sz w:val="27"/>
          <w:szCs w:val="27"/>
          <w14:ligatures w14:val="none"/>
        </w:rPr>
        <w:t>Layer 3 — Asymmetry Data Licensing (B2B Data Product)</w:t>
      </w:r>
    </w:p>
    <w:p w14:paraId="0EEA7D3F"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This is the highest-margin, most defensible revenue stream and the one most competitors will never reach. As FaceMetrics accumulates millions of sessions, the aggregated, anonymized asymmetry dataset becomes a standalone product for frame manufacturers, lens designers, and academic researchers.</w:t>
      </w:r>
    </w:p>
    <w:p w14:paraId="54D3A184"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Who buys it and what they pay:</w:t>
      </w:r>
    </w:p>
    <w:p w14:paraId="55E837AB"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Frame manufacturers (Safilo, Marchon, Silhouette, Marchon)</w:t>
      </w:r>
    </w:p>
    <w:p w14:paraId="48AC787B"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They need population-level data on facial asymmetry distribution to design frames that fit the actual population rather than an idealized symmetric face. Current frame design relies on academic studies from the 1980s with sample sizes of a few hundred. FaceMetrics could offer a rolling dataset of millions of real-world facial measurements.</w:t>
      </w:r>
    </w:p>
    <w:p w14:paraId="1B96ECF7" w14:textId="77777777" w:rsidR="00915DA1" w:rsidRPr="00915DA1" w:rsidRDefault="00915DA1" w:rsidP="00915DA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Annual data license: $25,000–$75,000/year depending on geographic scope and sample size</w:t>
      </w:r>
    </w:p>
    <w:p w14:paraId="080D70E3" w14:textId="77777777" w:rsidR="00915DA1" w:rsidRPr="00915DA1" w:rsidRDefault="00915DA1" w:rsidP="00915DA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Custom cut (e.g., "give us asymmetry distribution for males 35–55 in the US"): $5,000–$15,000 per query</w:t>
      </w:r>
    </w:p>
    <w:p w14:paraId="06B06DF0" w14:textId="77777777" w:rsidR="00915DA1" w:rsidRPr="00915DA1" w:rsidRDefault="00915DA1" w:rsidP="00915DA1">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Exclusivity premium: 3x base price for a 12-month exclusive window on a specific demographic cut</w:t>
      </w:r>
    </w:p>
    <w:p w14:paraId="39764FE1"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Lens manufacturers (Essilor, Zeiss, Hoya, Nikon Optical)</w:t>
      </w:r>
    </w:p>
    <w:p w14:paraId="0AE32D5A"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Progressive lens design requires understanding how the population's eyes actually move and where optical centers need to be placed for asymmetric wearers. This data has never existed at scale.</w:t>
      </w:r>
    </w:p>
    <w:p w14:paraId="484F9B87" w14:textId="77777777" w:rsidR="00915DA1" w:rsidRPr="00915DA1" w:rsidRDefault="00915DA1" w:rsidP="00915DA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Annual research license: $50,000–$150,000/year</w:t>
      </w:r>
    </w:p>
    <w:p w14:paraId="310E6EF9" w14:textId="77777777" w:rsidR="00915DA1" w:rsidRPr="00915DA1" w:rsidRDefault="00915DA1" w:rsidP="00915DA1">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Integration into lens design tools: custom OEM pricing, typically $200,000–$500,000 upfront plus annual maintenance</w:t>
      </w:r>
    </w:p>
    <w:p w14:paraId="11C413A3"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Telehealth and insurers</w:t>
      </w:r>
    </w:p>
    <w:p w14:paraId="2A320B24"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lastRenderedPageBreak/>
        <w:t>Asymmetry prevalence data by age cohort and geographic region is actuarially valuable for vision insurance pricing and benefit design. Population-level data showing that 40% of progressive lens wearers have clinically significant asymmetry would reshape how vision plans price their Rx benefits.</w:t>
      </w:r>
    </w:p>
    <w:p w14:paraId="5CE21D06" w14:textId="77777777" w:rsidR="00915DA1" w:rsidRPr="00915DA1" w:rsidRDefault="00915DA1" w:rsidP="00915DA1">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Annual actuarial data license: $30,000–$80,000/year</w:t>
      </w:r>
    </w:p>
    <w:p w14:paraId="69804AD1"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Academic and clinical researchers</w:t>
      </w:r>
    </w:p>
    <w:p w14:paraId="79C31362"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Optometry schools, vision science researchers, and ophthalmology departments will pay for de-identified datasets for peer-reviewed research. Importantly, this channel also generates the academic publications that validate FaceMetrics' accuracy — creating a marketing asset alongside the revenue stream.</w:t>
      </w:r>
    </w:p>
    <w:p w14:paraId="4BCB802D" w14:textId="77777777" w:rsidR="00915DA1" w:rsidRPr="00915DA1" w:rsidRDefault="00915DA1" w:rsidP="00915DA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Per-dataset fee: $2,000–$10,000 depending on size and specificity</w:t>
      </w:r>
    </w:p>
    <w:p w14:paraId="590115A3" w14:textId="77777777" w:rsidR="00915DA1" w:rsidRPr="00915DA1" w:rsidRDefault="00915DA1" w:rsidP="00915DA1">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Ongoing research partnership (data + API access + co-authorship): $15,000–$40,000/year</w:t>
      </w:r>
    </w:p>
    <w:p w14:paraId="19A7FF82"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Critical requirement:</w:t>
      </w:r>
      <w:r w:rsidRPr="00915DA1">
        <w:rPr>
          <w:rFonts w:ascii="Times New Roman" w:eastAsia="Times New Roman" w:hAnsi="Times New Roman" w:cs="Times New Roman"/>
          <w:kern w:val="0"/>
          <w14:ligatures w14:val="none"/>
        </w:rPr>
        <w:t xml:space="preserve"> All Layer 3 revenue requires a robust data governance framework — explicit user consent for anonymized research use at session initiation, GDPR-compliant anonymization pipeline, and an independent ethics review board for research partnerships. Budget $80,000–$150,000 in Year 1 legal and infrastructure cost to stand this up correctly. Without it, the revenue opportunity is zero and the reputational risk is existential.</w:t>
      </w:r>
    </w:p>
    <w:p w14:paraId="5D01EA47" w14:textId="77777777" w:rsidR="00915DA1" w:rsidRPr="00915DA1" w:rsidRDefault="009D55B4" w:rsidP="00915DA1">
      <w:pPr>
        <w:spacing w:after="0" w:line="240" w:lineRule="auto"/>
        <w:rPr>
          <w:rFonts w:ascii="Times New Roman" w:eastAsia="Times New Roman" w:hAnsi="Times New Roman" w:cs="Times New Roman"/>
          <w:kern w:val="0"/>
          <w14:ligatures w14:val="none"/>
        </w:rPr>
      </w:pPr>
      <w:r>
        <w:rPr>
          <w:noProof/>
        </w:rPr>
      </w:r>
      <w:r>
        <w:pict w14:anchorId="35189BB2">
          <v:rect id="Horizontal Line 24"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2D858DA5"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Packaging Strategy — How to Present This to Buyers</w:t>
      </w:r>
    </w:p>
    <w:p w14:paraId="7797C356"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Never present asymmetry as a line item on an invoice. Package it as a named product with its own brand identity within the FaceMetrics suite:</w:t>
      </w:r>
    </w:p>
    <w:p w14:paraId="142DB6A0"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FaceMetrics Core</w:t>
      </w:r>
      <w:r w:rsidRPr="00915DA1">
        <w:rPr>
          <w:rFonts w:ascii="Times New Roman" w:eastAsia="Times New Roman" w:hAnsi="Times New Roman" w:cs="Times New Roman"/>
          <w:kern w:val="0"/>
          <w14:ligatures w14:val="none"/>
        </w:rPr>
        <w:t xml:space="preserve"> — base measurement session API (PD, bridge, lens height, face width, temple length)</w:t>
      </w:r>
    </w:p>
    <w:p w14:paraId="38C3DFAF"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FaceMetrics Asymmetry+</w:t>
      </w:r>
      <w:r w:rsidRPr="00915DA1">
        <w:rPr>
          <w:rFonts w:ascii="Times New Roman" w:eastAsia="Times New Roman" w:hAnsi="Times New Roman" w:cs="Times New Roman"/>
          <w:kern w:val="0"/>
          <w14:ligatures w14:val="none"/>
        </w:rPr>
        <w:t xml:space="preserve"> — per-session asymmetry signal add-on (Layer 1)</w:t>
      </w:r>
    </w:p>
    <w:p w14:paraId="4D6901F5"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FaceMetrics Lens Intelligence</w:t>
      </w:r>
      <w:r w:rsidRPr="00915DA1">
        <w:rPr>
          <w:rFonts w:ascii="Times New Roman" w:eastAsia="Times New Roman" w:hAnsi="Times New Roman" w:cs="Times New Roman"/>
          <w:kern w:val="0"/>
          <w14:ligatures w14:val="none"/>
        </w:rPr>
        <w:t xml:space="preserve"> — dashboard analytics platform (Layer 2), with Asymmetry+ included</w:t>
      </w:r>
    </w:p>
    <w:p w14:paraId="507CF57C"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FaceMetrics Population Insights</w:t>
      </w:r>
      <w:r w:rsidRPr="00915DA1">
        <w:rPr>
          <w:rFonts w:ascii="Times New Roman" w:eastAsia="Times New Roman" w:hAnsi="Times New Roman" w:cs="Times New Roman"/>
          <w:kern w:val="0"/>
          <w14:ligatures w14:val="none"/>
        </w:rPr>
        <w:t xml:space="preserve"> — data licensing program (Layer 3), by application</w:t>
      </w:r>
    </w:p>
    <w:p w14:paraId="64E27BF3"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This naming architecture does several things simultaneously: it makes asymmetry feel like a product category rather than a checkbox, it creates natural upsell conversations ("you're on Core — have you seen what Asymmetry+ catches?"), and it positions FaceMetrics as a multi-product company rather than a single-API tool — which matters enormously for valuation in future funding rounds.</w:t>
      </w:r>
    </w:p>
    <w:p w14:paraId="5FB9F450" w14:textId="77777777" w:rsidR="00915DA1" w:rsidRPr="00915DA1" w:rsidRDefault="009D55B4" w:rsidP="00915DA1">
      <w:pPr>
        <w:spacing w:after="0" w:line="240" w:lineRule="auto"/>
        <w:rPr>
          <w:rFonts w:ascii="Times New Roman" w:eastAsia="Times New Roman" w:hAnsi="Times New Roman" w:cs="Times New Roman"/>
          <w:kern w:val="0"/>
          <w14:ligatures w14:val="none"/>
        </w:rPr>
      </w:pPr>
      <w:r>
        <w:rPr>
          <w:noProof/>
        </w:rPr>
      </w:r>
      <w:r>
        <w:pict w14:anchorId="2034755E">
          <v:rect id="Horizontal Line 25"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7BDE957F"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Rollout Sequencing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1236"/>
        <w:gridCol w:w="5453"/>
        <w:gridCol w:w="1919"/>
      </w:tblGrid>
      <w:tr w:rsidR="00915DA1" w:rsidRPr="00915DA1" w14:paraId="05B278DA" w14:textId="77777777">
        <w:trPr>
          <w:tblHeader/>
          <w:tblCellSpacing w:w="15" w:type="dxa"/>
        </w:trPr>
        <w:tc>
          <w:tcPr>
            <w:tcW w:w="0" w:type="auto"/>
            <w:vAlign w:val="center"/>
            <w:hideMark/>
          </w:tcPr>
          <w:p w14:paraId="251A33AE"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Phase</w:t>
            </w:r>
          </w:p>
        </w:tc>
        <w:tc>
          <w:tcPr>
            <w:tcW w:w="0" w:type="auto"/>
            <w:vAlign w:val="center"/>
            <w:hideMark/>
          </w:tcPr>
          <w:p w14:paraId="793D6E81"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Timeline</w:t>
            </w:r>
          </w:p>
        </w:tc>
        <w:tc>
          <w:tcPr>
            <w:tcW w:w="0" w:type="auto"/>
            <w:vAlign w:val="center"/>
            <w:hideMark/>
          </w:tcPr>
          <w:p w14:paraId="44C531F7"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Action</w:t>
            </w:r>
          </w:p>
        </w:tc>
        <w:tc>
          <w:tcPr>
            <w:tcW w:w="0" w:type="auto"/>
            <w:vAlign w:val="center"/>
            <w:hideMark/>
          </w:tcPr>
          <w:p w14:paraId="5C1AA82C" w14:textId="77777777" w:rsidR="00915DA1" w:rsidRPr="00915DA1" w:rsidRDefault="00915DA1" w:rsidP="00915DA1">
            <w:pPr>
              <w:spacing w:after="0" w:line="240" w:lineRule="auto"/>
              <w:jc w:val="center"/>
              <w:rPr>
                <w:rFonts w:ascii="Times New Roman" w:eastAsia="Times New Roman" w:hAnsi="Times New Roman" w:cs="Times New Roman"/>
                <w:b/>
                <w:bCs/>
                <w:kern w:val="0"/>
                <w14:ligatures w14:val="none"/>
              </w:rPr>
            </w:pPr>
            <w:r w:rsidRPr="00915DA1">
              <w:rPr>
                <w:rFonts w:ascii="Times New Roman" w:eastAsia="Times New Roman" w:hAnsi="Times New Roman" w:cs="Times New Roman"/>
                <w:b/>
                <w:bCs/>
                <w:kern w:val="0"/>
                <w14:ligatures w14:val="none"/>
              </w:rPr>
              <w:t>Revenue Target</w:t>
            </w:r>
          </w:p>
        </w:tc>
      </w:tr>
      <w:tr w:rsidR="00915DA1" w:rsidRPr="00915DA1" w14:paraId="68492B6E" w14:textId="77777777">
        <w:trPr>
          <w:tblCellSpacing w:w="15" w:type="dxa"/>
        </w:trPr>
        <w:tc>
          <w:tcPr>
            <w:tcW w:w="0" w:type="auto"/>
            <w:vAlign w:val="center"/>
            <w:hideMark/>
          </w:tcPr>
          <w:p w14:paraId="2AD30702"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Phase 1</w:t>
            </w:r>
          </w:p>
        </w:tc>
        <w:tc>
          <w:tcPr>
            <w:tcW w:w="0" w:type="auto"/>
            <w:vAlign w:val="center"/>
            <w:hideMark/>
          </w:tcPr>
          <w:p w14:paraId="7CC099F6"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Months 1–6</w:t>
            </w:r>
          </w:p>
        </w:tc>
        <w:tc>
          <w:tcPr>
            <w:tcW w:w="0" w:type="auto"/>
            <w:vAlign w:val="center"/>
            <w:hideMark/>
          </w:tcPr>
          <w:p w14:paraId="03DF621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Launch Asymmetry+ add-on to existing API customers; price at $0.03–0.05/session</w:t>
            </w:r>
          </w:p>
        </w:tc>
        <w:tc>
          <w:tcPr>
            <w:tcW w:w="0" w:type="auto"/>
            <w:vAlign w:val="center"/>
            <w:hideMark/>
          </w:tcPr>
          <w:p w14:paraId="2BC2B93D"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$5,000–$20,000 MRR</w:t>
            </w:r>
          </w:p>
        </w:tc>
      </w:tr>
      <w:tr w:rsidR="00915DA1" w:rsidRPr="00915DA1" w14:paraId="443BC674" w14:textId="77777777">
        <w:trPr>
          <w:tblCellSpacing w:w="15" w:type="dxa"/>
        </w:trPr>
        <w:tc>
          <w:tcPr>
            <w:tcW w:w="0" w:type="auto"/>
            <w:vAlign w:val="center"/>
            <w:hideMark/>
          </w:tcPr>
          <w:p w14:paraId="5A1405B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Phase 2</w:t>
            </w:r>
          </w:p>
        </w:tc>
        <w:tc>
          <w:tcPr>
            <w:tcW w:w="0" w:type="auto"/>
            <w:vAlign w:val="center"/>
            <w:hideMark/>
          </w:tcPr>
          <w:p w14:paraId="4D2CD0EB"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Months 6–12</w:t>
            </w:r>
          </w:p>
        </w:tc>
        <w:tc>
          <w:tcPr>
            <w:tcW w:w="0" w:type="auto"/>
            <w:vAlign w:val="center"/>
            <w:hideMark/>
          </w:tcPr>
          <w:p w14:paraId="4B57961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Launch Lens Intelligence dashboard in beta with 10 design partners at 50% discount</w:t>
            </w:r>
          </w:p>
        </w:tc>
        <w:tc>
          <w:tcPr>
            <w:tcW w:w="0" w:type="auto"/>
            <w:vAlign w:val="center"/>
            <w:hideMark/>
          </w:tcPr>
          <w:p w14:paraId="7A26F96D"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$15,000–$40,000 MRR</w:t>
            </w:r>
          </w:p>
        </w:tc>
      </w:tr>
      <w:tr w:rsidR="00915DA1" w:rsidRPr="00915DA1" w14:paraId="7570EF95" w14:textId="77777777">
        <w:trPr>
          <w:tblCellSpacing w:w="15" w:type="dxa"/>
        </w:trPr>
        <w:tc>
          <w:tcPr>
            <w:tcW w:w="0" w:type="auto"/>
            <w:vAlign w:val="center"/>
            <w:hideMark/>
          </w:tcPr>
          <w:p w14:paraId="443933B8"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Phase 3</w:t>
            </w:r>
          </w:p>
        </w:tc>
        <w:tc>
          <w:tcPr>
            <w:tcW w:w="0" w:type="auto"/>
            <w:vAlign w:val="center"/>
            <w:hideMark/>
          </w:tcPr>
          <w:p w14:paraId="6182030B"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Months 12–18</w:t>
            </w:r>
          </w:p>
        </w:tc>
        <w:tc>
          <w:tcPr>
            <w:tcW w:w="0" w:type="auto"/>
            <w:vAlign w:val="center"/>
            <w:hideMark/>
          </w:tcPr>
          <w:p w14:paraId="53BB97B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Full Lens Intelligence GA; begin data licensing conversations with 3 frame manufacturers</w:t>
            </w:r>
          </w:p>
        </w:tc>
        <w:tc>
          <w:tcPr>
            <w:tcW w:w="0" w:type="auto"/>
            <w:vAlign w:val="center"/>
            <w:hideMark/>
          </w:tcPr>
          <w:p w14:paraId="5EB8DFDC"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$50,000–$100,000 MRR</w:t>
            </w:r>
          </w:p>
        </w:tc>
      </w:tr>
      <w:tr w:rsidR="00915DA1" w:rsidRPr="00915DA1" w14:paraId="519BB209" w14:textId="77777777">
        <w:trPr>
          <w:tblCellSpacing w:w="15" w:type="dxa"/>
        </w:trPr>
        <w:tc>
          <w:tcPr>
            <w:tcW w:w="0" w:type="auto"/>
            <w:vAlign w:val="center"/>
            <w:hideMark/>
          </w:tcPr>
          <w:p w14:paraId="08A4203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Phase 4</w:t>
            </w:r>
          </w:p>
        </w:tc>
        <w:tc>
          <w:tcPr>
            <w:tcW w:w="0" w:type="auto"/>
            <w:vAlign w:val="center"/>
            <w:hideMark/>
          </w:tcPr>
          <w:p w14:paraId="1B74A5D7"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Months 18–30</w:t>
            </w:r>
          </w:p>
        </w:tc>
        <w:tc>
          <w:tcPr>
            <w:tcW w:w="0" w:type="auto"/>
            <w:vAlign w:val="center"/>
            <w:hideMark/>
          </w:tcPr>
          <w:p w14:paraId="650AE3F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Structured data licensing program with legal framework; academic partnerships</w:t>
            </w:r>
          </w:p>
        </w:tc>
        <w:tc>
          <w:tcPr>
            <w:tcW w:w="0" w:type="auto"/>
            <w:vAlign w:val="center"/>
            <w:hideMark/>
          </w:tcPr>
          <w:p w14:paraId="6DD9A4FF" w14:textId="77777777" w:rsidR="00915DA1" w:rsidRPr="00915DA1" w:rsidRDefault="00915DA1" w:rsidP="00915DA1">
            <w:pPr>
              <w:spacing w:after="0"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$100,000–$250,000 MRR</w:t>
            </w:r>
          </w:p>
        </w:tc>
      </w:tr>
    </w:tbl>
    <w:p w14:paraId="5D09F695" w14:textId="77777777" w:rsidR="00915DA1" w:rsidRPr="00915DA1" w:rsidRDefault="009D55B4" w:rsidP="00915DA1">
      <w:pPr>
        <w:spacing w:after="0" w:line="240" w:lineRule="auto"/>
        <w:rPr>
          <w:rFonts w:ascii="Times New Roman" w:eastAsia="Times New Roman" w:hAnsi="Times New Roman" w:cs="Times New Roman"/>
          <w:kern w:val="0"/>
          <w14:ligatures w14:val="none"/>
        </w:rPr>
      </w:pPr>
      <w:r>
        <w:rPr>
          <w:noProof/>
        </w:rPr>
      </w:r>
      <w:r>
        <w:pict w14:anchorId="77E6A0C4">
          <v:rect id="Horizontal Line 26"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245A0DF" w14:textId="77777777" w:rsidR="00915DA1" w:rsidRPr="00915DA1" w:rsidRDefault="00915DA1" w:rsidP="00915DA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15DA1">
        <w:rPr>
          <w:rFonts w:ascii="Times New Roman" w:eastAsia="Times New Roman" w:hAnsi="Times New Roman" w:cs="Times New Roman"/>
          <w:b/>
          <w:bCs/>
          <w:kern w:val="0"/>
          <w:sz w:val="36"/>
          <w:szCs w:val="36"/>
          <w14:ligatures w14:val="none"/>
        </w:rPr>
        <w:t>Competitive Defensibility of This Pricing Model</w:t>
      </w:r>
    </w:p>
    <w:p w14:paraId="243976B0"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The layered architecture is specifically designed to create three different switching costs simultaneously:</w:t>
      </w:r>
    </w:p>
    <w:p w14:paraId="4B8AF216"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Layer 1</w:t>
      </w:r>
      <w:r w:rsidRPr="00915DA1">
        <w:rPr>
          <w:rFonts w:ascii="Times New Roman" w:eastAsia="Times New Roman" w:hAnsi="Times New Roman" w:cs="Times New Roman"/>
          <w:kern w:val="0"/>
          <w14:ligatures w14:val="none"/>
        </w:rPr>
        <w:t xml:space="preserve"> creates API-level switching cost — ripping out asymmetry data means rewriting Rx workflows and frame recommendation logic</w:t>
      </w:r>
    </w:p>
    <w:p w14:paraId="2C762004"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Layer 2</w:t>
      </w:r>
      <w:r w:rsidRPr="00915DA1">
        <w:rPr>
          <w:rFonts w:ascii="Times New Roman" w:eastAsia="Times New Roman" w:hAnsi="Times New Roman" w:cs="Times New Roman"/>
          <w:kern w:val="0"/>
          <w14:ligatures w14:val="none"/>
        </w:rPr>
        <w:t xml:space="preserve"> creates organizational switching cost — the dashboard becomes embedded in QBRs, staff training, and clinical audit processes. Nobody rips out a dashboard that their clinical director references monthly</w:t>
      </w:r>
    </w:p>
    <w:p w14:paraId="4AB7141E"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b/>
          <w:bCs/>
          <w:kern w:val="0"/>
          <w14:ligatures w14:val="none"/>
        </w:rPr>
        <w:t>Layer 3</w:t>
      </w:r>
      <w:r w:rsidRPr="00915DA1">
        <w:rPr>
          <w:rFonts w:ascii="Times New Roman" w:eastAsia="Times New Roman" w:hAnsi="Times New Roman" w:cs="Times New Roman"/>
          <w:kern w:val="0"/>
          <w14:ligatures w14:val="none"/>
        </w:rPr>
        <w:t xml:space="preserve"> creates market-level switching cost — once frame manufacturers have designed a product line using FaceMetrics population data, they are structurally dependent on continuity of that dataset. Switching to a competitor means starting their research dataset from scratch</w:t>
      </w:r>
    </w:p>
    <w:p w14:paraId="6C8B947E" w14:textId="77777777" w:rsidR="00915DA1" w:rsidRP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The combined effect is that a competitor entering the market has to simultaneously undercut your per-session pricing, replicate your analytics depth, and offer a population dataset they don't yet have — an essentially impossible task in the first 3–5 years of your market existence.</w:t>
      </w:r>
    </w:p>
    <w:p w14:paraId="41CC9E8F" w14:textId="77777777" w:rsidR="00915DA1" w:rsidRPr="00915DA1" w:rsidRDefault="009D55B4" w:rsidP="00915DA1">
      <w:pPr>
        <w:spacing w:after="0" w:line="240" w:lineRule="auto"/>
        <w:rPr>
          <w:rFonts w:ascii="Times New Roman" w:eastAsia="Times New Roman" w:hAnsi="Times New Roman" w:cs="Times New Roman"/>
          <w:kern w:val="0"/>
          <w14:ligatures w14:val="none"/>
        </w:rPr>
      </w:pPr>
      <w:r>
        <w:rPr>
          <w:noProof/>
        </w:rPr>
      </w:r>
      <w:r>
        <w:pict w14:anchorId="77852F0F">
          <v:rect id="Horizontal Line 27"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61EBA64B" w14:textId="77777777" w:rsidR="00915DA1" w:rsidRDefault="00915DA1" w:rsidP="00915DA1">
      <w:pPr>
        <w:spacing w:before="100" w:beforeAutospacing="1" w:after="100" w:afterAutospacing="1" w:line="240" w:lineRule="auto"/>
        <w:rPr>
          <w:rFonts w:ascii="Times New Roman" w:eastAsia="Times New Roman" w:hAnsi="Times New Roman" w:cs="Times New Roman"/>
          <w:kern w:val="0"/>
          <w14:ligatures w14:val="none"/>
        </w:rPr>
      </w:pPr>
      <w:r w:rsidRPr="00915DA1">
        <w:rPr>
          <w:rFonts w:ascii="Times New Roman" w:eastAsia="Times New Roman" w:hAnsi="Times New Roman" w:cs="Times New Roman"/>
          <w:kern w:val="0"/>
          <w14:ligatures w14:val="none"/>
        </w:rPr>
        <w:t>Want me to build this pricing architecture into a dedicated revenue model section of the PRD, or develop a financial model projecting revenue across all three layers over a 5-year horizon?</w:t>
      </w:r>
    </w:p>
    <w:p w14:paraId="26917845" w14:textId="77777777" w:rsidR="0047796A" w:rsidRDefault="0047796A" w:rsidP="00915DA1">
      <w:pPr>
        <w:spacing w:before="100" w:beforeAutospacing="1" w:after="100" w:afterAutospacing="1" w:line="240" w:lineRule="auto"/>
        <w:rPr>
          <w:rFonts w:ascii="Times New Roman" w:eastAsia="Times New Roman" w:hAnsi="Times New Roman" w:cs="Times New Roman"/>
          <w:kern w:val="0"/>
          <w14:ligatures w14:val="none"/>
        </w:rPr>
      </w:pPr>
    </w:p>
    <w:p w14:paraId="15C84948" w14:textId="77777777" w:rsidR="0047796A" w:rsidRDefault="0047796A" w:rsidP="00915DA1">
      <w:pPr>
        <w:spacing w:before="100" w:beforeAutospacing="1" w:after="100" w:afterAutospacing="1" w:line="240" w:lineRule="auto"/>
        <w:rPr>
          <w:rFonts w:ascii="Times New Roman" w:eastAsia="Times New Roman" w:hAnsi="Times New Roman" w:cs="Times New Roman"/>
          <w:kern w:val="0"/>
          <w14:ligatures w14:val="none"/>
        </w:rPr>
      </w:pPr>
    </w:p>
    <w:p w14:paraId="6FEB0B6E" w14:textId="77777777" w:rsidR="00986F7D" w:rsidRDefault="0047796A" w:rsidP="004779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796A">
        <w:rPr>
          <w:rFonts w:ascii="Times New Roman" w:eastAsia="Times New Roman" w:hAnsi="Times New Roman" w:cs="Times New Roman"/>
          <w:b/>
          <w:bCs/>
          <w:kern w:val="0"/>
          <w:sz w:val="36"/>
          <w:szCs w:val="36"/>
          <w14:ligatures w14:val="none"/>
        </w:rPr>
        <w:lastRenderedPageBreak/>
        <w:t>MediaPipe FaceMesh &amp; Eye Landmark Detection</w:t>
      </w:r>
    </w:p>
    <w:p w14:paraId="6E0A4C63" w14:textId="66E9A3A2" w:rsidR="00986F7D" w:rsidRDefault="00986F7D" w:rsidP="004779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86F7D">
        <w:rPr>
          <w:rFonts w:ascii="Times New Roman" w:eastAsia="Times New Roman" w:hAnsi="Times New Roman" w:cs="Times New Roman"/>
          <w:b/>
          <w:bCs/>
          <w:kern w:val="0"/>
          <w:sz w:val="36"/>
          <w:szCs w:val="36"/>
          <w14:ligatures w14:val="none"/>
        </w:rPr>
        <w:drawing>
          <wp:inline distT="0" distB="0" distL="0" distR="0" wp14:anchorId="2C376182" wp14:editId="08A05C9E">
            <wp:extent cx="5943600" cy="3714750"/>
            <wp:effectExtent l="0" t="0" r="0" b="6350"/>
            <wp:docPr id="56762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23027" name=""/>
                    <pic:cNvPicPr/>
                  </pic:nvPicPr>
                  <pic:blipFill>
                    <a:blip r:embed="rId5"/>
                    <a:stretch>
                      <a:fillRect/>
                    </a:stretch>
                  </pic:blipFill>
                  <pic:spPr>
                    <a:xfrm>
                      <a:off x="0" y="0"/>
                      <a:ext cx="5943600" cy="3714750"/>
                    </a:xfrm>
                    <a:prstGeom prst="rect">
                      <a:avLst/>
                    </a:prstGeom>
                  </pic:spPr>
                </pic:pic>
              </a:graphicData>
            </a:graphic>
          </wp:inline>
        </w:drawing>
      </w:r>
    </w:p>
    <w:p w14:paraId="49DDD087" w14:textId="77777777" w:rsidR="00986F7D" w:rsidRDefault="00986F7D" w:rsidP="004779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F03395F" w14:textId="77777777" w:rsidR="00986F7D" w:rsidRDefault="00986F7D" w:rsidP="004779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12D8185" w14:textId="5D95985E" w:rsidR="0047796A" w:rsidRPr="00986F7D" w:rsidRDefault="0047796A" w:rsidP="0047796A">
      <w:pPr>
        <w:spacing w:before="100" w:beforeAutospacing="1" w:after="100" w:afterAutospacing="1" w:line="240" w:lineRule="auto"/>
        <w:outlineLvl w:val="1"/>
        <w:rPr>
          <w:rFonts w:ascii="Times New Roman" w:eastAsia="Times New Roman" w:hAnsi="Times New Roman" w:cs="Times New Roman"/>
          <w:kern w:val="0"/>
          <w:sz w:val="28"/>
          <w:szCs w:val="28"/>
          <w14:ligatures w14:val="none"/>
        </w:rPr>
      </w:pPr>
      <w:r w:rsidRPr="00986F7D">
        <w:rPr>
          <w:rFonts w:ascii="Times New Roman" w:eastAsia="Times New Roman" w:hAnsi="Times New Roman" w:cs="Times New Roman"/>
          <w:kern w:val="0"/>
          <w:sz w:val="28"/>
          <w:szCs w:val="28"/>
          <w14:ligatures w14:val="none"/>
        </w:rPr>
        <w:t>Here's the breakdown in plain terms:</w:t>
      </w:r>
    </w:p>
    <w:p w14:paraId="59CEAD52"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b/>
          <w:bCs/>
          <w:kern w:val="0"/>
          <w14:ligatures w14:val="none"/>
        </w:rPr>
        <w:t>MediaPipe FaceMesh</w:t>
      </w:r>
      <w:r w:rsidRPr="0047796A">
        <w:rPr>
          <w:rFonts w:ascii="Times New Roman" w:eastAsia="Times New Roman" w:hAnsi="Times New Roman" w:cs="Times New Roman"/>
          <w:kern w:val="0"/>
          <w14:ligatures w14:val="none"/>
        </w:rPr>
        <w:t xml:space="preserve"> is a computer vision model that analyzes a face in an image or video and identifies 468 specific points on it — landmarks — each with an (x, y, z) coordinate. Think of it as a precise mesh draped over the face.</w:t>
      </w:r>
    </w:p>
    <w:p w14:paraId="68DC131B"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b/>
          <w:bCs/>
          <w:kern w:val="0"/>
          <w14:ligatures w14:val="none"/>
        </w:rPr>
        <w:t>For the eyes specifically</w:t>
      </w:r>
      <w:r w:rsidRPr="0047796A">
        <w:rPr>
          <w:rFonts w:ascii="Times New Roman" w:eastAsia="Times New Roman" w:hAnsi="Times New Roman" w:cs="Times New Roman"/>
          <w:kern w:val="0"/>
          <w14:ligatures w14:val="none"/>
        </w:rPr>
        <w:t>, those 468 points include:</w:t>
      </w:r>
    </w:p>
    <w:p w14:paraId="5DD5D75C" w14:textId="77777777" w:rsidR="0047796A" w:rsidRPr="0047796A" w:rsidRDefault="0047796A" w:rsidP="004779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Around 16 points per eye tracing the eyelid contours (useful for detecting blink/open state)</w:t>
      </w:r>
    </w:p>
    <w:p w14:paraId="6FB3DB7B" w14:textId="77777777" w:rsidR="0047796A" w:rsidRPr="0047796A" w:rsidRDefault="0047796A" w:rsidP="004779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5–6 points around the iris ring (the colored part of the eye)</w:t>
      </w:r>
    </w:p>
    <w:p w14:paraId="61F7EF93" w14:textId="77777777" w:rsidR="0047796A" w:rsidRPr="0047796A" w:rsidRDefault="0047796A" w:rsidP="004779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 xml:space="preserve">A computed </w:t>
      </w:r>
      <w:r w:rsidRPr="0047796A">
        <w:rPr>
          <w:rFonts w:ascii="Times New Roman" w:eastAsia="Times New Roman" w:hAnsi="Times New Roman" w:cs="Times New Roman"/>
          <w:b/>
          <w:bCs/>
          <w:kern w:val="0"/>
          <w14:ligatures w14:val="none"/>
        </w:rPr>
        <w:t>pupil center point</w:t>
      </w:r>
      <w:r w:rsidRPr="0047796A">
        <w:rPr>
          <w:rFonts w:ascii="Times New Roman" w:eastAsia="Times New Roman" w:hAnsi="Times New Roman" w:cs="Times New Roman"/>
          <w:kern w:val="0"/>
          <w14:ligatures w14:val="none"/>
        </w:rPr>
        <w:t xml:space="preserve"> — derived by finding the geometric center of those iris ring points</w:t>
      </w:r>
    </w:p>
    <w:p w14:paraId="7FAEB7D6"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b/>
          <w:bCs/>
          <w:kern w:val="0"/>
          <w14:ligatures w14:val="none"/>
        </w:rPr>
        <w:t>Why "proxies" matter:</w:t>
      </w:r>
      <w:r w:rsidRPr="0047796A">
        <w:rPr>
          <w:rFonts w:ascii="Times New Roman" w:eastAsia="Times New Roman" w:hAnsi="Times New Roman" w:cs="Times New Roman"/>
          <w:kern w:val="0"/>
          <w14:ligatures w14:val="none"/>
        </w:rPr>
        <w:t xml:space="preserve"> The pupil center derived from iris landmarks is the most accurate approach. But if the iris isn't clearly visible (heavy glare on glasses, eyes partially closed), the </w:t>
      </w:r>
      <w:r w:rsidRPr="0047796A">
        <w:rPr>
          <w:rFonts w:ascii="Times New Roman" w:eastAsia="Times New Roman" w:hAnsi="Times New Roman" w:cs="Times New Roman"/>
          <w:kern w:val="0"/>
          <w14:ligatures w14:val="none"/>
        </w:rPr>
        <w:lastRenderedPageBreak/>
        <w:t xml:space="preserve">model can fall back to using the </w:t>
      </w:r>
      <w:r w:rsidRPr="0047796A">
        <w:rPr>
          <w:rFonts w:ascii="Times New Roman" w:eastAsia="Times New Roman" w:hAnsi="Times New Roman" w:cs="Times New Roman"/>
          <w:b/>
          <w:bCs/>
          <w:kern w:val="0"/>
          <w14:ligatures w14:val="none"/>
        </w:rPr>
        <w:t>inner corner</w:t>
      </w:r>
      <w:r w:rsidRPr="0047796A">
        <w:rPr>
          <w:rFonts w:ascii="Times New Roman" w:eastAsia="Times New Roman" w:hAnsi="Times New Roman" w:cs="Times New Roman"/>
          <w:kern w:val="0"/>
          <w14:ligatures w14:val="none"/>
        </w:rPr>
        <w:t xml:space="preserve"> (medial canthus) and </w:t>
      </w:r>
      <w:r w:rsidRPr="0047796A">
        <w:rPr>
          <w:rFonts w:ascii="Times New Roman" w:eastAsia="Times New Roman" w:hAnsi="Times New Roman" w:cs="Times New Roman"/>
          <w:b/>
          <w:bCs/>
          <w:kern w:val="0"/>
          <w14:ligatures w14:val="none"/>
        </w:rPr>
        <w:t>outer corner</w:t>
      </w:r>
      <w:r w:rsidRPr="0047796A">
        <w:rPr>
          <w:rFonts w:ascii="Times New Roman" w:eastAsia="Times New Roman" w:hAnsi="Times New Roman" w:cs="Times New Roman"/>
          <w:kern w:val="0"/>
          <w14:ligatures w14:val="none"/>
        </w:rPr>
        <w:t xml:space="preserve"> (lateral canthus) of the eye as approximate reference points instead. They're less precise, but stable.</w:t>
      </w:r>
    </w:p>
    <w:p w14:paraId="6CCF79FC"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b/>
          <w:bCs/>
          <w:kern w:val="0"/>
          <w14:ligatures w14:val="none"/>
        </w:rPr>
        <w:t>For FaceMetrics specifically</w:t>
      </w:r>
      <w:r w:rsidRPr="0047796A">
        <w:rPr>
          <w:rFonts w:ascii="Times New Roman" w:eastAsia="Times New Roman" w:hAnsi="Times New Roman" w:cs="Times New Roman"/>
          <w:kern w:val="0"/>
          <w14:ligatures w14:val="none"/>
        </w:rPr>
        <w:t>, this is why it works well for eyewear fitting — the iris landmarks give you a highly accurate pupil center, which is the reference point for measuring things like:</w:t>
      </w:r>
    </w:p>
    <w:p w14:paraId="6E87B24E" w14:textId="77777777" w:rsidR="0047796A" w:rsidRPr="0047796A" w:rsidRDefault="0047796A" w:rsidP="004779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Pupillary distance (PD) — the distance between the two pupil centers</w:t>
      </w:r>
    </w:p>
    <w:p w14:paraId="66D03A9E" w14:textId="77777777" w:rsidR="0047796A" w:rsidRPr="0047796A" w:rsidRDefault="0047796A" w:rsidP="004779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Fitting height — how high the pupil sits within a frame</w:t>
      </w:r>
    </w:p>
    <w:p w14:paraId="5D65A8F9" w14:textId="77777777" w:rsidR="0047796A" w:rsidRPr="0047796A" w:rsidRDefault="0047796A" w:rsidP="004779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Monocular PD — each eye measured independently from the nose bridge</w:t>
      </w:r>
    </w:p>
    <w:p w14:paraId="20102FAD" w14:textId="77777777" w:rsidR="0047796A" w:rsidRPr="0047796A" w:rsidRDefault="0047796A" w:rsidP="0047796A">
      <w:pPr>
        <w:spacing w:before="100" w:beforeAutospacing="1" w:after="100" w:afterAutospacing="1" w:line="240" w:lineRule="auto"/>
        <w:rPr>
          <w:rFonts w:ascii="Times New Roman" w:eastAsia="Times New Roman" w:hAnsi="Times New Roman" w:cs="Times New Roman"/>
          <w:kern w:val="0"/>
          <w14:ligatures w14:val="none"/>
        </w:rPr>
      </w:pPr>
      <w:r w:rsidRPr="0047796A">
        <w:rPr>
          <w:rFonts w:ascii="Times New Roman" w:eastAsia="Times New Roman" w:hAnsi="Times New Roman" w:cs="Times New Roman"/>
          <w:kern w:val="0"/>
          <w14:ligatures w14:val="none"/>
        </w:rPr>
        <w:t>The red crosshairs in the diagram show that computed pupil center — the single most important measurement anchor for eyewear fitting.</w:t>
      </w:r>
    </w:p>
    <w:p w14:paraId="5E3C7434" w14:textId="77777777" w:rsidR="0047796A" w:rsidRPr="00915DA1" w:rsidRDefault="0047796A" w:rsidP="00915DA1">
      <w:pPr>
        <w:spacing w:before="100" w:beforeAutospacing="1" w:after="100" w:afterAutospacing="1" w:line="240" w:lineRule="auto"/>
        <w:rPr>
          <w:rFonts w:ascii="Times New Roman" w:eastAsia="Times New Roman" w:hAnsi="Times New Roman" w:cs="Times New Roman"/>
          <w:kern w:val="0"/>
          <w14:ligatures w14:val="none"/>
        </w:rPr>
      </w:pPr>
    </w:p>
    <w:p w14:paraId="423BB967" w14:textId="77777777" w:rsidR="00915DA1" w:rsidRDefault="00915DA1"/>
    <w:sectPr w:rsidR="00915D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7762"/>
    <w:multiLevelType w:val="multilevel"/>
    <w:tmpl w:val="5316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BC7D0E"/>
    <w:multiLevelType w:val="multilevel"/>
    <w:tmpl w:val="94C6E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12745"/>
    <w:multiLevelType w:val="multilevel"/>
    <w:tmpl w:val="7B82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6214EE"/>
    <w:multiLevelType w:val="multilevel"/>
    <w:tmpl w:val="2532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27CB5"/>
    <w:multiLevelType w:val="multilevel"/>
    <w:tmpl w:val="02E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D52238"/>
    <w:multiLevelType w:val="multilevel"/>
    <w:tmpl w:val="EB10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50B7F"/>
    <w:multiLevelType w:val="multilevel"/>
    <w:tmpl w:val="94CC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66E45"/>
    <w:multiLevelType w:val="multilevel"/>
    <w:tmpl w:val="1C8A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03518"/>
    <w:multiLevelType w:val="multilevel"/>
    <w:tmpl w:val="3372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EF1911"/>
    <w:multiLevelType w:val="multilevel"/>
    <w:tmpl w:val="9AAE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89097E"/>
    <w:multiLevelType w:val="multilevel"/>
    <w:tmpl w:val="A952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9C0A2C"/>
    <w:multiLevelType w:val="multilevel"/>
    <w:tmpl w:val="69D8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D31854"/>
    <w:multiLevelType w:val="multilevel"/>
    <w:tmpl w:val="FCE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7816F4"/>
    <w:multiLevelType w:val="multilevel"/>
    <w:tmpl w:val="9DF4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602466"/>
    <w:multiLevelType w:val="multilevel"/>
    <w:tmpl w:val="1FD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0B0517"/>
    <w:multiLevelType w:val="multilevel"/>
    <w:tmpl w:val="FFA6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A569E"/>
    <w:multiLevelType w:val="multilevel"/>
    <w:tmpl w:val="608C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0C644A"/>
    <w:multiLevelType w:val="multilevel"/>
    <w:tmpl w:val="93826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080359">
    <w:abstractNumId w:val="11"/>
  </w:num>
  <w:num w:numId="2" w16cid:durableId="407462360">
    <w:abstractNumId w:val="16"/>
  </w:num>
  <w:num w:numId="3" w16cid:durableId="1267152368">
    <w:abstractNumId w:val="8"/>
  </w:num>
  <w:num w:numId="4" w16cid:durableId="1951011244">
    <w:abstractNumId w:val="13"/>
  </w:num>
  <w:num w:numId="5" w16cid:durableId="1402169196">
    <w:abstractNumId w:val="2"/>
  </w:num>
  <w:num w:numId="6" w16cid:durableId="506872859">
    <w:abstractNumId w:val="15"/>
  </w:num>
  <w:num w:numId="7" w16cid:durableId="1938057075">
    <w:abstractNumId w:val="14"/>
  </w:num>
  <w:num w:numId="8" w16cid:durableId="1429541309">
    <w:abstractNumId w:val="3"/>
  </w:num>
  <w:num w:numId="9" w16cid:durableId="1580678469">
    <w:abstractNumId w:val="4"/>
  </w:num>
  <w:num w:numId="10" w16cid:durableId="8796137">
    <w:abstractNumId w:val="7"/>
  </w:num>
  <w:num w:numId="11" w16cid:durableId="536813639">
    <w:abstractNumId w:val="6"/>
  </w:num>
  <w:num w:numId="12" w16cid:durableId="1114784291">
    <w:abstractNumId w:val="17"/>
  </w:num>
  <w:num w:numId="13" w16cid:durableId="1007827024">
    <w:abstractNumId w:val="10"/>
  </w:num>
  <w:num w:numId="14" w16cid:durableId="1477264772">
    <w:abstractNumId w:val="0"/>
  </w:num>
  <w:num w:numId="15" w16cid:durableId="417866780">
    <w:abstractNumId w:val="1"/>
  </w:num>
  <w:num w:numId="16" w16cid:durableId="1804809624">
    <w:abstractNumId w:val="12"/>
  </w:num>
  <w:num w:numId="17" w16cid:durableId="774977298">
    <w:abstractNumId w:val="5"/>
  </w:num>
  <w:num w:numId="18" w16cid:durableId="6083942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07C"/>
    <w:rsid w:val="003E307C"/>
    <w:rsid w:val="0047796A"/>
    <w:rsid w:val="0054466E"/>
    <w:rsid w:val="00915DA1"/>
    <w:rsid w:val="00986F7D"/>
    <w:rsid w:val="009D55B4"/>
    <w:rsid w:val="00A13DC7"/>
    <w:rsid w:val="00B170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724F62B3"/>
  <w15:chartTrackingRefBased/>
  <w15:docId w15:val="{1973DF09-55A6-FD47-A658-4D561ADCA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3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30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30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30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0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30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30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30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30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07C"/>
    <w:rPr>
      <w:rFonts w:eastAsiaTheme="majorEastAsia" w:cstheme="majorBidi"/>
      <w:color w:val="272727" w:themeColor="text1" w:themeTint="D8"/>
    </w:rPr>
  </w:style>
  <w:style w:type="paragraph" w:styleId="Title">
    <w:name w:val="Title"/>
    <w:basedOn w:val="Normal"/>
    <w:next w:val="Normal"/>
    <w:link w:val="TitleChar"/>
    <w:uiPriority w:val="10"/>
    <w:qFormat/>
    <w:rsid w:val="003E3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07C"/>
    <w:pPr>
      <w:spacing w:before="160"/>
      <w:jc w:val="center"/>
    </w:pPr>
    <w:rPr>
      <w:i/>
      <w:iCs/>
      <w:color w:val="404040" w:themeColor="text1" w:themeTint="BF"/>
    </w:rPr>
  </w:style>
  <w:style w:type="character" w:customStyle="1" w:styleId="QuoteChar">
    <w:name w:val="Quote Char"/>
    <w:basedOn w:val="DefaultParagraphFont"/>
    <w:link w:val="Quote"/>
    <w:uiPriority w:val="29"/>
    <w:rsid w:val="003E307C"/>
    <w:rPr>
      <w:i/>
      <w:iCs/>
      <w:color w:val="404040" w:themeColor="text1" w:themeTint="BF"/>
    </w:rPr>
  </w:style>
  <w:style w:type="paragraph" w:styleId="ListParagraph">
    <w:name w:val="List Paragraph"/>
    <w:basedOn w:val="Normal"/>
    <w:uiPriority w:val="34"/>
    <w:qFormat/>
    <w:rsid w:val="003E307C"/>
    <w:pPr>
      <w:ind w:left="720"/>
      <w:contextualSpacing/>
    </w:pPr>
  </w:style>
  <w:style w:type="character" w:styleId="IntenseEmphasis">
    <w:name w:val="Intense Emphasis"/>
    <w:basedOn w:val="DefaultParagraphFont"/>
    <w:uiPriority w:val="21"/>
    <w:qFormat/>
    <w:rsid w:val="003E307C"/>
    <w:rPr>
      <w:i/>
      <w:iCs/>
      <w:color w:val="0F4761" w:themeColor="accent1" w:themeShade="BF"/>
    </w:rPr>
  </w:style>
  <w:style w:type="paragraph" w:styleId="IntenseQuote">
    <w:name w:val="Intense Quote"/>
    <w:basedOn w:val="Normal"/>
    <w:next w:val="Normal"/>
    <w:link w:val="IntenseQuoteChar"/>
    <w:uiPriority w:val="30"/>
    <w:qFormat/>
    <w:rsid w:val="003E3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07C"/>
    <w:rPr>
      <w:i/>
      <w:iCs/>
      <w:color w:val="0F4761" w:themeColor="accent1" w:themeShade="BF"/>
    </w:rPr>
  </w:style>
  <w:style w:type="character" w:styleId="IntenseReference">
    <w:name w:val="Intense Reference"/>
    <w:basedOn w:val="DefaultParagraphFont"/>
    <w:uiPriority w:val="32"/>
    <w:qFormat/>
    <w:rsid w:val="003E307C"/>
    <w:rPr>
      <w:b/>
      <w:bCs/>
      <w:smallCaps/>
      <w:color w:val="0F4761" w:themeColor="accent1" w:themeShade="BF"/>
      <w:spacing w:val="5"/>
    </w:rPr>
  </w:style>
  <w:style w:type="paragraph" w:styleId="NormalWeb">
    <w:name w:val="Normal (Web)"/>
    <w:basedOn w:val="Normal"/>
    <w:uiPriority w:val="99"/>
    <w:semiHidden/>
    <w:unhideWhenUsed/>
    <w:rsid w:val="003E30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E307C"/>
    <w:rPr>
      <w:b/>
      <w:bCs/>
    </w:rPr>
  </w:style>
  <w:style w:type="character" w:styleId="Emphasis">
    <w:name w:val="Emphasis"/>
    <w:basedOn w:val="DefaultParagraphFont"/>
    <w:uiPriority w:val="20"/>
    <w:qFormat/>
    <w:rsid w:val="003E307C"/>
    <w:rPr>
      <w:i/>
      <w:iCs/>
    </w:rPr>
  </w:style>
  <w:style w:type="character" w:styleId="HTMLCode">
    <w:name w:val="HTML Code"/>
    <w:basedOn w:val="DefaultParagraphFont"/>
    <w:uiPriority w:val="99"/>
    <w:semiHidden/>
    <w:unhideWhenUsed/>
    <w:rsid w:val="00915DA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4026</Words>
  <Characters>22952</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Baker</dc:creator>
  <cp:keywords/>
  <dc:description/>
  <cp:lastModifiedBy>Jason Baker</cp:lastModifiedBy>
  <cp:revision>2</cp:revision>
  <dcterms:created xsi:type="dcterms:W3CDTF">2026-06-08T03:19:00Z</dcterms:created>
  <dcterms:modified xsi:type="dcterms:W3CDTF">2026-06-08T03:19:00Z</dcterms:modified>
</cp:coreProperties>
</file>