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Georgia" w:cs="Georgia" w:eastAsia="Georgia" w:hAnsi="Georgia"/>
          <w:b/>
          <w:bCs/>
          <w:color w:val="0B1D2E"/>
          <w:sz w:val="64"/>
          <w:szCs w:val="64"/>
        </w:rPr>
        <w:t xml:space="preserve">FaceMetrics</w:t>
      </w:r>
    </w:p>
    <w:p>
      <w:pPr>
        <w:spacing w:after="80" w:before="0"/>
        <w:jc w:val="center"/>
      </w:pPr>
      <w:r>
        <w:rPr>
          <w:rFonts w:ascii="Arial" w:cs="Arial" w:eastAsia="Arial" w:hAnsi="Arial"/>
          <w:color w:val="007B97"/>
          <w:sz w:val="28"/>
          <w:szCs w:val="28"/>
        </w:rPr>
        <w:t xml:space="preserve">Optical EHR API Integration Standards</w:t>
      </w:r>
    </w:p>
    <w:p>
      <w:pPr>
        <w:spacing w:after="60" w:before="0"/>
        <w:jc w:val="center"/>
      </w:pPr>
      <w:r>
        <w:rPr>
          <w:rFonts w:ascii="Arial" w:cs="Arial" w:eastAsia="Arial" w:hAnsi="Arial"/>
          <w:i/>
          <w:iCs/>
          <w:color w:val="475569"/>
          <w:sz w:val="22"/>
          <w:szCs w:val="22"/>
        </w:rPr>
        <w:t xml:space="preserve">Compliance Reference · Violation Risk Analysis · Integration Roadmap</w:t>
      </w:r>
    </w:p>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7B97" w:sz="1"/>
              <w:left w:val="single" w:color="007B97" w:sz="1"/>
              <w:bottom w:val="single" w:color="007B97" w:sz="1"/>
              <w:right w:val="single" w:color="007B97" w:sz="1"/>
            </w:tcBorders>
            <w:shd w:fill="007B97"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Document Type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Internal Technical Reference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Version</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1.0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Status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Draft for Review</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Date</w:t>
            </w:r>
          </w:p>
        </w:tc>
        <w:tc>
          <w:tcPr>
            <w:tcW w:type="dxa" w:w="6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June 2026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color w:val="475569"/>
                <w:sz w:val="19"/>
                <w:szCs w:val="19"/>
              </w:rPr>
              <w:t xml:space="preserve">Classification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Confidential — Internal Use Only</w:t>
            </w:r>
          </w:p>
        </w:tc>
      </w:tr>
    </w:tbl>
    <w:p>
      <w:r>
        <w:br w:type="page"/>
      </w:r>
    </w:p>
    <w:p>
      <w:pPr>
        <w:pStyle w:val="Heading1"/>
        <w:pBdr>
          <w:bottom w:val="single" w:color="007B97" w:sz="6" w:space="4"/>
        </w:pBdr>
        <w:spacing w:after="120" w:before="360"/>
      </w:pPr>
      <w:r>
        <w:rPr>
          <w:rFonts w:ascii="Arial" w:cs="Arial" w:eastAsia="Arial" w:hAnsi="Arial"/>
          <w:b/>
          <w:bCs/>
          <w:color w:val="0B1D2E"/>
          <w:sz w:val="30"/>
          <w:szCs w:val="30"/>
        </w:rPr>
        <w:t xml:space="preserve">1. Overview</w:t>
      </w:r>
    </w:p>
    <w:p>
      <w:pPr>
        <w:spacing w:after="100" w:before="60"/>
      </w:pPr>
      <w:r>
        <w:rPr>
          <w:rFonts w:ascii="Arial" w:cs="Arial" w:eastAsia="Arial" w:hAnsi="Arial"/>
          <w:color w:val="475569"/>
          <w:sz w:val="22"/>
          <w:szCs w:val="22"/>
        </w:rPr>
        <w:t xml:space="preserve">This document provides a comprehensive reference for integrating FaceMetrics' facial measurement platform with optical Electronic Health Record (EHR) systems used by US optometrists and ophthalmologists. It covers the API standards each major vendor uses, the universal compliance requirements that must be satisfied before any production integration, and the specific shortfalls most likely to trigger regulatory violations under HIPAA, the 21st Century Cures Act, and state biometric privacy laws.</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6"/>
              <w:bottom w:val="single" w:color="C0392B" w:sz="1"/>
              <w:right w:val="single" w:color="C0392B" w:sz="1"/>
            </w:tcBorders>
            <w:shd w:fill="FEE2E2"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ENFORCEMENT ALERT: HHS declared nationwide information blocking enforcement on September 3, 2025. Civil monetary penalties reach $1 million per violation for health IT developers. Compliance is no longer optional. Every section of this document addresses an active enforcement risk.</w:t>
            </w:r>
          </w:p>
        </w:tc>
      </w:tr>
    </w:tbl>
    <w:p>
      <w:pPr>
        <w:spacing w:after="180" w:before="0"/>
      </w:pPr>
      <w:r>
        <w:t xml:space="preserve"/>
      </w:r>
    </w:p>
    <w:p>
      <w:pPr>
        <w:pStyle w:val="Heading1"/>
        <w:pBdr>
          <w:bottom w:val="single" w:color="007B97" w:sz="6" w:space="4"/>
        </w:pBdr>
        <w:spacing w:after="120" w:before="360"/>
      </w:pPr>
      <w:r>
        <w:rPr>
          <w:rFonts w:ascii="Arial" w:cs="Arial" w:eastAsia="Arial" w:hAnsi="Arial"/>
          <w:b/>
          <w:bCs/>
          <w:color w:val="0B1D2E"/>
          <w:sz w:val="30"/>
          <w:szCs w:val="30"/>
        </w:rPr>
        <w:t xml:space="preserve">2. Optical EHR Companies &amp; API Standards by Vendor</w:t>
      </w:r>
    </w:p>
    <w:p>
      <w:pPr>
        <w:spacing w:after="100" w:before="60"/>
      </w:pPr>
      <w:r>
        <w:rPr>
          <w:rFonts w:ascii="Arial" w:cs="Arial" w:eastAsia="Arial" w:hAnsi="Arial"/>
          <w:color w:val="475569"/>
          <w:sz w:val="22"/>
          <w:szCs w:val="22"/>
        </w:rPr>
        <w:t xml:space="preserve">The US optometry and ophthalmology EHR market is concentrated among eight major platforms. Together, the top five cover approximately 88% of US optometric practices. The table below documents each vendor's API architecture, certification status, and assessed integration complexity for FaceMetrics.</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2.1 Primary Vendor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600"/>
        <w:gridCol w:w="1400"/>
        <w:gridCol w:w="1400"/>
        <w:gridCol w:w="2160"/>
      </w:tblGrid>
      <w:tr>
        <w:trPr>
          <w:tblHeader/>
        </w:trPr>
        <w:tc>
          <w:tcPr>
            <w:tcW w:type="dxa" w:w="15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Vendor</w:t>
            </w:r>
          </w:p>
        </w:tc>
        <w:tc>
          <w:tcPr>
            <w:tcW w:type="dxa" w:w="13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Market Share</w:t>
            </w:r>
          </w:p>
        </w:tc>
        <w:tc>
          <w:tcPr>
            <w:tcW w:type="dxa" w:w="16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Primary API</w:t>
            </w:r>
          </w:p>
        </w:tc>
        <w:tc>
          <w:tcPr>
            <w:tcW w:type="dxa" w:w="14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 Standard</w:t>
            </w:r>
          </w:p>
        </w:tc>
        <w:tc>
          <w:tcPr>
            <w:tcW w:type="dxa" w:w="14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Cert Status</w:t>
            </w:r>
          </w:p>
        </w:tc>
        <w:tc>
          <w:tcPr>
            <w:tcW w:type="dxa" w:w="216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FM Integration Fit</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Eyefinity (VSP)</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~35% of US ODs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REST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OAuth 2.0 + PKCE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ONC-ATCB • HIPAA</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D97706"/>
                <w:sz w:val="19"/>
                <w:szCs w:val="19"/>
              </w:rPr>
              <w:t xml:space="preserve">Medium — partner approval bottleneck</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RevolutionEHR</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~25% independent ODs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REST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certified • MIPS</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66534"/>
                <w:sz w:val="19"/>
                <w:szCs w:val="19"/>
              </w:rPr>
              <w:t xml:space="preserve">Best — open developer program</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Compulink Advantage</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~15% multi-specialty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 proprietary SDK</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OAuth 2.0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certified • HIPAA</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D97706"/>
                <w:sz w:val="19"/>
                <w:szCs w:val="19"/>
              </w:rPr>
              <w:t xml:space="preserve">Medium-High — proprietary Rx fields</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Crystal PM</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~8% vision therapy</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HL7 v2.x (primary)</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Custom token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certified</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C0392B"/>
                <w:sz w:val="19"/>
                <w:szCs w:val="19"/>
              </w:rPr>
              <w:t xml:space="preserve">Hard — HL7 translation layer required</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OfficeMate / ExamWRITER</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~12% (declining)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SQL Server direct access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Windows Auth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ONC-ATCB certified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0392B"/>
                <w:sz w:val="19"/>
                <w:szCs w:val="19"/>
              </w:rPr>
              <w:t xml:space="preserve">Avoid — direct DB creates HIPAA exposure</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MaximEyes</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~5% small practices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(cloud)</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certified</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66534"/>
                <w:sz w:val="19"/>
                <w:szCs w:val="19"/>
              </w:rPr>
              <w:t xml:space="preserve">Good — cloud instances straightforward</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Eye Cloud Pro</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&lt;3% (growing)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REST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OAuth 2.0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certified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66534"/>
                <w:sz w:val="19"/>
                <w:szCs w:val="19"/>
              </w:rPr>
              <w:t xml:space="preserve">Strong — modern open architecture</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Epic (ophthal. module)</w:t>
            </w:r>
          </w:p>
        </w:tc>
        <w:tc>
          <w:tcPr>
            <w:tcW w:type="dxa" w:w="13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41% of hospital beds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 CDS Hooks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certified • SOC 2</w:t>
            </w:r>
          </w:p>
        </w:tc>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40AF"/>
                <w:sz w:val="19"/>
                <w:szCs w:val="19"/>
              </w:rPr>
              <w:t xml:space="preserve">Year 2 target — 2-4 month approval</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athenahealth</w:t>
            </w:r>
          </w:p>
        </w:tc>
        <w:tc>
          <w:tcPr>
            <w:tcW w:type="dxa" w:w="13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~8% ambulatory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certified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66534"/>
                <w:sz w:val="19"/>
                <w:szCs w:val="19"/>
              </w:rPr>
              <w:t xml:space="preserve">Good — marketplace review required</w:t>
            </w:r>
          </w:p>
        </w:tc>
      </w:tr>
    </w:tbl>
    <w:p>
      <w:pPr>
        <w:spacing w:after="180" w:before="0"/>
      </w:pPr>
      <w:r>
        <w:t xml:space="preserve"/>
      </w:r>
    </w:p>
    <w:p>
      <w:pPr>
        <w:pStyle w:val="Heading2"/>
        <w:spacing w:after="80" w:before="280"/>
      </w:pPr>
      <w:r>
        <w:rPr>
          <w:rFonts w:ascii="Arial" w:cs="Arial" w:eastAsia="Arial" w:hAnsi="Arial"/>
          <w:b/>
          <w:bCs/>
          <w:color w:val="007B97"/>
          <w:sz w:val="24"/>
          <w:szCs w:val="24"/>
        </w:rPr>
        <w:t xml:space="preserve">2.2 Vendor-Specific Notes</w:t>
      </w:r>
    </w:p>
    <w:p>
      <w:pPr>
        <w:pStyle w:val="Heading3"/>
        <w:spacing w:after="60" w:before="200"/>
      </w:pPr>
      <w:r>
        <w:rPr>
          <w:rFonts w:ascii="Arial" w:cs="Arial" w:eastAsia="Arial" w:hAnsi="Arial"/>
          <w:b/>
          <w:bCs/>
          <w:color w:val="0B1D2E"/>
          <w:sz w:val="22"/>
          <w:szCs w:val="22"/>
        </w:rPr>
        <w:t xml:space="preserve">Eyefinity (VSP Global)</w:t>
      </w:r>
    </w:p>
    <w:p>
      <w:pPr>
        <w:spacing w:after="100" w:before="60"/>
      </w:pPr>
      <w:r>
        <w:rPr>
          <w:rFonts w:ascii="Arial" w:cs="Arial" w:eastAsia="Arial" w:hAnsi="Arial"/>
          <w:color w:val="475569"/>
          <w:sz w:val="22"/>
          <w:szCs w:val="22"/>
        </w:rPr>
        <w:t xml:space="preserve">Eyefinity is the largest optometry-specific EHR, owned by VSP Vision Care. It exposes a FHIR R4 API at fhirapi.eyefinity.com/r4 with OAuth 2.0 + PKCE authorization. The OfficeMate practice management system (desktop/server) integrates with ExamWRITER via direct SQL Server access — a legacy architecture that third-party integrators must avoid in favor of the FHIR layer. Device integration uses DICOM licensing for equipment from Zeiss FORUM, Optos, and Oculus Easyfield. Vendor partner approval takes 8–14 weeks and requires SOC 2 evidence before production access is granted.</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RevolutionEHR</w:t>
      </w:r>
    </w:p>
    <w:p>
      <w:pPr>
        <w:spacing w:after="100" w:before="60"/>
      </w:pPr>
      <w:r>
        <w:rPr>
          <w:rFonts w:ascii="Arial" w:cs="Arial" w:eastAsia="Arial" w:hAnsi="Arial"/>
          <w:color w:val="475569"/>
          <w:sz w:val="22"/>
          <w:szCs w:val="22"/>
        </w:rPr>
        <w:t xml:space="preserve">The fastest-growing cloud-native optometry EHR. Its open developer marketplace and structured FHIR R4 implementation make it the primary integration target for FaceMetrics Phase 1. It supports device integration with Zeiss, TopCon, Visionix, and Reichert instruments at no additional cost. The SmartFlow feature links clinical notes directly to optical orders — the natural integration point for FaceMetrics measurement output flowing into dispensary workflow. Estimated integration timeline: 4–8 weeks.</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Compulink Advantage (SMART Practice)</w:t>
      </w:r>
    </w:p>
    <w:p>
      <w:pPr>
        <w:spacing w:after="100" w:before="60"/>
      </w:pPr>
      <w:r>
        <w:rPr>
          <w:rFonts w:ascii="Arial" w:cs="Arial" w:eastAsia="Arial" w:hAnsi="Arial"/>
          <w:color w:val="475569"/>
          <w:sz w:val="22"/>
          <w:szCs w:val="22"/>
        </w:rPr>
        <w:t xml:space="preserve">Compulink provides deep clinical templates for chronic disease management (glaucoma, retina, diabetic eye disease) alongside practice management and optical POS. It uses a combination of FHIR R4 and a proprietary SDK, with some critical optical fields — particularly refraction data — stored in proprietary schemas not fully mapped to FHIR Observation resources. Custom field mapping is required to write FaceMetrics PD and lens height data into Compulink's Rx workflow. Integration timeline: 12–20 weeks.</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Crystal Practice Management</w:t>
      </w:r>
    </w:p>
    <w:p>
      <w:pPr>
        <w:spacing w:after="100" w:before="60"/>
      </w:pPr>
      <w:r>
        <w:rPr>
          <w:rFonts w:ascii="Arial" w:cs="Arial" w:eastAsia="Arial" w:hAnsi="Arial"/>
          <w:color w:val="475569"/>
          <w:sz w:val="22"/>
          <w:szCs w:val="22"/>
        </w:rPr>
        <w:t xml:space="preserve">Crystal PM uses HL7 v2.x as its primary integration protocol, with limited FHIR support. This requires FaceMetrics to implement an HL7 v2 translation layer — either through middleware (Mirth Connect, Azure Health Data Services) or a custom ADT/ORU message adapter. HL7 v2 ORM messages carry order data; ORU messages carry results. Integration timeline: 16–24 weeks. Crystal PM is a lower-priority target than FHIR-native platforms.</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OfficeMate / ExamWRITER</w:t>
      </w:r>
    </w:p>
    <w:p>
      <w:pPr>
        <w:spacing w:after="100" w:before="60"/>
      </w:pPr>
      <w:r>
        <w:rPr>
          <w:rFonts w:ascii="Arial" w:cs="Arial" w:eastAsia="Arial" w:hAnsi="Arial"/>
          <w:color w:val="475569"/>
          <w:sz w:val="22"/>
          <w:szCs w:val="22"/>
        </w:rPr>
        <w:t xml:space="preserve">This legacy Windows desktop application uses Windows Authentication direct to SQL Server for all third-party integrations — there is no REST API layer. Direct database access bypasses EHR audit logging, creates uncontrolled PHI access, and violates HIPAA Security Rule §164.312 requirements for audit controls and access management. FaceMetrics must not integrate via direct SQL. These practices should be migrated to Eyefinity Encompass (FHIR-compliant) before integration is attempted.</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Epic (Ophthalmology Module)</w:t>
      </w:r>
    </w:p>
    <w:p>
      <w:pPr>
        <w:spacing w:after="100" w:before="60"/>
      </w:pPr>
      <w:r>
        <w:rPr>
          <w:rFonts w:ascii="Arial" w:cs="Arial" w:eastAsia="Arial" w:hAnsi="Arial"/>
          <w:color w:val="475569"/>
          <w:sz w:val="22"/>
          <w:szCs w:val="22"/>
        </w:rPr>
        <w:t xml:space="preserve">Epic holds 41% of US hospital installations and serves all major academic ophthalmology departments. It offers 750+ APIs processing 10 billion FHIR calls monthly. Integration requires formal Connector Builder enrollment with a 2–4 month production approval process. Epic also uses CDS Hooks for real-time clinical decision support — a future integration pathway for asymmetry alerts surfacing within the clinical encounter. Epic is a Year 2 target; do not begin enrollment until RevolutionEHR and Eyefinity integrations are stable.</w:t>
      </w:r>
    </w:p>
    <w:p>
      <w:pPr>
        <w:spacing w:after="180" w:before="0"/>
      </w:pPr>
      <w:r>
        <w:t xml:space="preserve"/>
      </w:r>
    </w:p>
    <w:p>
      <w:pPr>
        <w:pBdr>
          <w:bottom w:val="single" w:color="E2E8F0" w:sz="2" w:space="4"/>
        </w:pBdr>
        <w:spacing w:after="0" w:before="240"/>
      </w:pPr>
      <w:r>
        <w:t xml:space="preserve"/>
      </w:r>
    </w:p>
    <w:p>
      <w:pPr>
        <w:pStyle w:val="Heading1"/>
        <w:pBdr>
          <w:bottom w:val="single" w:color="007B97" w:sz="6" w:space="4"/>
        </w:pBdr>
        <w:spacing w:after="120" w:before="360"/>
      </w:pPr>
      <w:r>
        <w:rPr>
          <w:rFonts w:ascii="Arial" w:cs="Arial" w:eastAsia="Arial" w:hAnsi="Arial"/>
          <w:b/>
          <w:bCs/>
          <w:color w:val="0B1D2E"/>
          <w:sz w:val="30"/>
          <w:szCs w:val="30"/>
        </w:rPr>
        <w:t xml:space="preserve">3. Dominant API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B97" w:sz="1"/>
              <w:left w:val="single" w:color="007B97" w:sz="16"/>
              <w:bottom w:val="single" w:color="007B97" w:sz="1"/>
              <w:right w:val="single" w:color="007B97" w:sz="1"/>
            </w:tcBorders>
            <w:shd w:fill="E0F7FC"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The answer is unambiguous: FHIR R4 + SMART on FHIR + OAuth 2.0 is the mandatory interoperability stack for any EHR serving US patients. This is federally mandated by the ONC Final Rule implementing the 21st Century Cures Act. HL7 v2 coexists as a legacy layer and cannot be ignored. Everything else is supplementary.</w:t>
            </w:r>
          </w:p>
        </w:tc>
      </w:tr>
    </w:tbl>
    <w:p>
      <w:pPr>
        <w:spacing w:after="180" w:before="0"/>
      </w:pPr>
      <w:r>
        <w:t xml:space="preserve"/>
      </w:r>
    </w:p>
    <w:p>
      <w:pPr>
        <w:pStyle w:val="Heading2"/>
        <w:spacing w:after="80" w:before="280"/>
      </w:pPr>
      <w:r>
        <w:rPr>
          <w:rFonts w:ascii="Arial" w:cs="Arial" w:eastAsia="Arial" w:hAnsi="Arial"/>
          <w:b/>
          <w:bCs/>
          <w:color w:val="007B97"/>
          <w:sz w:val="24"/>
          <w:szCs w:val="24"/>
        </w:rPr>
        <w:t xml:space="preserve">3.1 Standard Prevalence Across Optical EHR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rPr>
          <w:tblHeader/>
        </w:trPr>
        <w:tc>
          <w:tcPr>
            <w:tcW w:type="dxa" w:w="18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Standard</w:t>
            </w:r>
          </w:p>
        </w:tc>
        <w:tc>
          <w:tcPr>
            <w:tcW w:type="dxa" w:w="14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Prevalence</w:t>
            </w:r>
          </w:p>
        </w:tc>
        <w:tc>
          <w:tcPr>
            <w:tcW w:type="dxa" w:w="20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Mandate Type</w:t>
            </w:r>
          </w:p>
        </w:tc>
        <w:tc>
          <w:tcPr>
            <w:tcW w:type="dxa" w:w="416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FaceMetrics Requirement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87% of optical EHRs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US federal mandate (ONC)</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Must implement — primary API layer</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OAuth 2.0</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90% of optical EHRs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 industry standard</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Already implemented — extend with EHR launch context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75% of optical EHRs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recommended; Epic required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Must implement for EHR-embedded launch</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HL7 v2.x</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85% real-time data flows</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De facto legacy standard</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Must implement translation layer for Crystal PM + legacy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DICOM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70% device integrations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Required for imaging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Not required — FaceMetrics is not imaging equipment</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USCDI v3</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65% (growing)</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mandate from 2024</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Must map measurement fields to USCDI data elements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ICD-10 / CPT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99% universal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CMS billing requirement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Map sessions to CPT 92340/92342 with legal counsel</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CDS Hooks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35% (growing)</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 encouraged; Epic primary</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Year 2 target — asymmetry alerts within clinical workflow</w:t>
            </w:r>
          </w:p>
        </w:tc>
      </w:tr>
    </w:tbl>
    <w:p>
      <w:pPr>
        <w:spacing w:after="180" w:before="0"/>
      </w:pPr>
      <w:r>
        <w:t xml:space="preserve"/>
      </w:r>
    </w:p>
    <w:p>
      <w:pPr>
        <w:pStyle w:val="Heading2"/>
        <w:spacing w:after="80" w:before="280"/>
      </w:pPr>
      <w:r>
        <w:rPr>
          <w:rFonts w:ascii="Arial" w:cs="Arial" w:eastAsia="Arial" w:hAnsi="Arial"/>
          <w:b/>
          <w:bCs/>
          <w:color w:val="007B97"/>
          <w:sz w:val="24"/>
          <w:szCs w:val="24"/>
        </w:rPr>
        <w:t xml:space="preserve">3.2 FHIR Resource Mapping for FaceMetrics Data</w:t>
      </w:r>
    </w:p>
    <w:p>
      <w:pPr>
        <w:spacing w:after="100" w:before="60"/>
      </w:pPr>
      <w:r>
        <w:rPr>
          <w:rFonts w:ascii="Arial" w:cs="Arial" w:eastAsia="Arial" w:hAnsi="Arial"/>
          <w:color w:val="475569"/>
          <w:sz w:val="22"/>
          <w:szCs w:val="22"/>
        </w:rPr>
        <w:t xml:space="preserve">FaceMetrics measurement output must be structured as properly typed FHIR R4 resources conforming to US Core Implementation Guide profiles. The table below documents the required mapping.</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FHIR Resource</w:t>
            </w:r>
          </w:p>
        </w:tc>
        <w:tc>
          <w:tcPr>
            <w:tcW w:type="dxa" w:w="40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FaceMetrics Data Mapped</w:t>
            </w:r>
          </w:p>
        </w:tc>
        <w:tc>
          <w:tcPr>
            <w:tcW w:type="dxa" w:w="336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Terminology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Observation</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PD total, PD left, PD right, bridge width, lens height, face width, temple length, asymmetry delta, vertical eye offset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LOINC codes (pending request to Regenstrief Institute — see Section 5.5)</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Patient</w:t>
            </w:r>
          </w:p>
        </w:tc>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Patient demographics for session association — FaceMetrics receives ID only; never stores PHI independently</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USCDI v3 Patient demographics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Encounter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Measurement session linked to clinical encounter for billing code association (CPT 92340/92342)</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CPT codes with legal counsel review</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VisionPrescription</w:t>
            </w:r>
          </w:p>
        </w:tc>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Rx data ingested from EHR for progressive lens suitability check; FaceMetrics reads, does not write</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VisionPrescription resource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DiagnosticReport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Asymmetry assessment: severity classification, recommended action, confidence score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SNOMED CT for clinical findings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Device</w:t>
            </w:r>
          </w:p>
        </w:tc>
        <w:tc>
          <w:tcPr>
            <w:tcW w:type="dxa" w:w="4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FaceMetrics measurement device registration — camera model, software version, calibration method used</w:t>
            </w:r>
          </w:p>
        </w:tc>
        <w:tc>
          <w:tcPr>
            <w:tcW w:type="dxa" w:w="3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Device resource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ServiceRequest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Frame fitting parameters pushed to dispensary workflow on session completion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SNOMED CT procedure codes</w:t>
            </w:r>
          </w:p>
        </w:tc>
      </w:tr>
    </w:tbl>
    <w:p>
      <w:pPr>
        <w:spacing w:after="180" w:before="0"/>
      </w:pPr>
      <w:r>
        <w:t xml:space="preserve"/>
      </w:r>
    </w:p>
    <w:p>
      <w:pPr>
        <w:pStyle w:val="Heading2"/>
        <w:spacing w:after="80" w:before="280"/>
      </w:pPr>
      <w:r>
        <w:rPr>
          <w:rFonts w:ascii="Arial" w:cs="Arial" w:eastAsia="Arial" w:hAnsi="Arial"/>
          <w:b/>
          <w:bCs/>
          <w:color w:val="007B97"/>
          <w:sz w:val="24"/>
          <w:szCs w:val="24"/>
        </w:rPr>
        <w:t xml:space="preserve">3.3 HL7 v2 Message Types Required</w:t>
      </w:r>
    </w:p>
    <w:p>
      <w:pPr>
        <w:spacing w:after="100" w:before="60"/>
      </w:pPr>
      <w:r>
        <w:rPr>
          <w:rFonts w:ascii="Arial" w:cs="Arial" w:eastAsia="Arial" w:hAnsi="Arial"/>
          <w:color w:val="475569"/>
          <w:sz w:val="22"/>
          <w:szCs w:val="22"/>
        </w:rPr>
        <w:t xml:space="preserve">For legacy EHR integration (Crystal PM, older Compulink deployments, on-premise MaximEyes), FaceMetrics must support the following HL7 v2 message types via an integration middleware layer:</w:t>
      </w:r>
    </w:p>
    <w:p>
      <w:pPr>
        <w:spacing w:after="60" w:before="40"/>
      </w:pPr>
      <w:r>
        <w:t xml:space="preserve"/>
      </w:r>
    </w:p>
    <w:p>
      <w:pPr>
        <w:pStyle w:val="ListParagraph"/>
        <w:numPr>
          <w:ilvl w:val="0"/>
          <w:numId w:val="2"/>
        </w:numPr>
        <w:spacing w:after="40" w:before="40"/>
      </w:pPr>
      <w:r>
        <w:rPr>
          <w:rFonts w:ascii="Arial" w:cs="Arial" w:eastAsia="Arial" w:hAnsi="Arial"/>
          <w:color w:val="475569"/>
          <w:sz w:val="22"/>
          <w:szCs w:val="22"/>
        </w:rPr>
        <w:t xml:space="preserve">ADT^A08 (Update Patient Information): receive patient demographics when a session begins</w:t>
      </w:r>
    </w:p>
    <w:p>
      <w:pPr>
        <w:pStyle w:val="ListParagraph"/>
        <w:numPr>
          <w:ilvl w:val="0"/>
          <w:numId w:val="2"/>
        </w:numPr>
        <w:spacing w:after="40" w:before="40"/>
      </w:pPr>
      <w:r>
        <w:rPr>
          <w:rFonts w:ascii="Arial" w:cs="Arial" w:eastAsia="Arial" w:hAnsi="Arial"/>
          <w:color w:val="475569"/>
          <w:sz w:val="22"/>
          <w:szCs w:val="22"/>
        </w:rPr>
        <w:t xml:space="preserve">ORM^O01 (General Order Message): receive fitting orders from the practice management system</w:t>
      </w:r>
    </w:p>
    <w:p>
      <w:pPr>
        <w:pStyle w:val="ListParagraph"/>
        <w:numPr>
          <w:ilvl w:val="0"/>
          <w:numId w:val="2"/>
        </w:numPr>
        <w:spacing w:after="40" w:before="40"/>
      </w:pPr>
      <w:r>
        <w:rPr>
          <w:rFonts w:ascii="Arial" w:cs="Arial" w:eastAsia="Arial" w:hAnsi="Arial"/>
          <w:color w:val="475569"/>
          <w:sz w:val="22"/>
          <w:szCs w:val="22"/>
        </w:rPr>
        <w:t xml:space="preserve">ORU^R01 (Observation Result): send measurement results back to the EHR as structured observations</w:t>
      </w:r>
    </w:p>
    <w:p>
      <w:pPr>
        <w:pStyle w:val="ListParagraph"/>
        <w:numPr>
          <w:ilvl w:val="0"/>
          <w:numId w:val="2"/>
        </w:numPr>
        <w:spacing w:after="40" w:before="40"/>
      </w:pPr>
      <w:r>
        <w:rPr>
          <w:rFonts w:ascii="Arial" w:cs="Arial" w:eastAsia="Arial" w:hAnsi="Arial"/>
          <w:color w:val="475569"/>
          <w:sz w:val="22"/>
          <w:szCs w:val="22"/>
        </w:rPr>
        <w:t xml:space="preserve">DFT^P03 (Detail Financial Transaction): optional — support billing passthrough for CPT code attachment</w:t>
      </w:r>
    </w:p>
    <w:p>
      <w:pPr>
        <w:spacing w:after="180" w:before="0"/>
      </w:pPr>
      <w:r>
        <w:t xml:space="preserve"/>
      </w:r>
    </w:p>
    <w:p>
      <w:pPr>
        <w:pBdr>
          <w:bottom w:val="single" w:color="E2E8F0" w:sz="2" w:space="4"/>
        </w:pBdr>
        <w:spacing w:after="0" w:before="240"/>
      </w:pPr>
      <w:r>
        <w:t xml:space="preserve"/>
      </w:r>
    </w:p>
    <w:p>
      <w:pPr>
        <w:pStyle w:val="Heading1"/>
        <w:pBdr>
          <w:bottom w:val="single" w:color="007B97" w:sz="6" w:space="4"/>
        </w:pBdr>
        <w:spacing w:after="120" w:before="360"/>
      </w:pPr>
      <w:r>
        <w:rPr>
          <w:rFonts w:ascii="Arial" w:cs="Arial" w:eastAsia="Arial" w:hAnsi="Arial"/>
          <w:b/>
          <w:bCs/>
          <w:color w:val="0B1D2E"/>
          <w:sz w:val="30"/>
          <w:szCs w:val="30"/>
        </w:rPr>
        <w:t xml:space="preserve">4. Integration Requirements — What Must Be Done</w:t>
      </w:r>
    </w:p>
    <w:p>
      <w:pPr>
        <w:spacing w:after="100" w:before="60"/>
      </w:pPr>
      <w:r>
        <w:rPr>
          <w:rFonts w:ascii="Arial" w:cs="Arial" w:eastAsia="Arial" w:hAnsi="Arial"/>
          <w:color w:val="475569"/>
          <w:sz w:val="22"/>
          <w:szCs w:val="22"/>
        </w:rPr>
        <w:t xml:space="preserve">Integrating with the top 5 optical EHR platforms covers approximately 88% of the US optometry market. All five share a mandatory compliance and technical foundation. The eight steps below are universal — every integration requires all of them before production go-live.</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4.1 Universal Requirements</w:t>
      </w:r>
    </w:p>
    <w:p>
      <w:pPr>
        <w:pStyle w:val="Heading3"/>
        <w:spacing w:after="60" w:before="200"/>
      </w:pPr>
      <w:r>
        <w:rPr>
          <w:rFonts w:ascii="Arial" w:cs="Arial" w:eastAsia="Arial" w:hAnsi="Arial"/>
          <w:b/>
          <w:bCs/>
          <w:color w:val="0B1D2E"/>
          <w:sz w:val="22"/>
          <w:szCs w:val="22"/>
        </w:rPr>
        <w:t xml:space="preserve">Step 1 — HIPAA Business Associate Agreement (BAA)</w:t>
      </w:r>
    </w:p>
    <w:p>
      <w:pPr>
        <w:spacing w:after="100" w:before="60"/>
      </w:pPr>
      <w:r>
        <w:rPr>
          <w:rFonts w:ascii="Arial" w:cs="Arial" w:eastAsia="Arial" w:hAnsi="Arial"/>
          <w:color w:val="475569"/>
          <w:sz w:val="22"/>
          <w:szCs w:val="22"/>
        </w:rPr>
        <w:t xml:space="preserve">A signed BAA is legally required before any patient data flows between FaceMetrics and an EHR. FaceMetrics handles Protected Health Information (PHI) — specifically, patient identity linked to facial measurement data. A separate BAA must be executed with each EHR vendor, each practice, and any middleware/cloud infrastructure provider. Failure to execute a BAA before going live is a direct HIPAA violation subject to penalties of $100–$50,000 per record affected, up to $1.9M per violation category per year. Budget 2–6 weeks for legal review and execution per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6"/>
              <w:bottom w:val="single" w:color="C0392B" w:sz="1"/>
              <w:right w:val="single" w:color="C0392B" w:sz="1"/>
            </w:tcBorders>
            <w:shd w:fill="FEE2E2"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Action: Designate a HIPAA Privacy Officer before any production integration. Use fully synthetic, de-identified test data in all pre-BAA development and QA environments. Never use real patient data for testing without an executed BAA.</w:t>
            </w:r>
          </w:p>
        </w:tc>
      </w:tr>
    </w:tbl>
    <w:p>
      <w:pPr>
        <w:spacing w:after="60" w:before="60"/>
      </w:pPr>
      <w:r>
        <w:t xml:space="preserve"/>
      </w:r>
    </w:p>
    <w:p>
      <w:pPr>
        <w:pStyle w:val="Heading3"/>
        <w:spacing w:after="60" w:before="200"/>
      </w:pPr>
      <w:r>
        <w:rPr>
          <w:rFonts w:ascii="Arial" w:cs="Arial" w:eastAsia="Arial" w:hAnsi="Arial"/>
          <w:b/>
          <w:bCs/>
          <w:color w:val="0B1D2E"/>
          <w:sz w:val="22"/>
          <w:szCs w:val="22"/>
        </w:rPr>
        <w:t xml:space="preserve">Step 2 — ONC Certification Assessment</w:t>
      </w:r>
    </w:p>
    <w:p>
      <w:pPr>
        <w:spacing w:after="100" w:before="60"/>
      </w:pPr>
      <w:r>
        <w:rPr>
          <w:rFonts w:ascii="Arial" w:cs="Arial" w:eastAsia="Arial" w:hAnsi="Arial"/>
          <w:color w:val="475569"/>
          <w:sz w:val="22"/>
          <w:szCs w:val="22"/>
        </w:rPr>
        <w:t xml:space="preserve">If FaceMetrics writes data back into ONC-certified EHR records, it may be classified as a Health IT Developer of Certified Health IT under the 21st Century Cures Act. This classification triggers information blocking obligations and potentially ONC certification requirements. The key test: does FaceMetrics create, modify, or append to records within a certified EHR? Engage ONC compliance counsel before production integration with Epic or athenahealth specifically, as these are the most likely to trigger the classification.</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Step 3 — FHIR R4 Server with USCDI v3 Data Mapping</w:t>
      </w:r>
    </w:p>
    <w:p>
      <w:pPr>
        <w:spacing w:after="100" w:before="60"/>
      </w:pPr>
      <w:r>
        <w:rPr>
          <w:rFonts w:ascii="Arial" w:cs="Arial" w:eastAsia="Arial" w:hAnsi="Arial"/>
          <w:color w:val="475569"/>
          <w:sz w:val="22"/>
          <w:szCs w:val="22"/>
        </w:rPr>
        <w:t xml:space="preserve">FaceMetrics must expose measurement output as properly structured FHIR R4 resources — Observation, DiagnosticReport, ServiceRequest — mapped to LOINC or SNOMED CT codes conforming to US Core Implementation Guide profiles. A certified FHIR server is required (HAPI FHIR is the standard open-source choice). Every measurement field must carry a terminology code; free-text strings are not accepted by USCDI v3-compliant EHRs.</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Step 4 — SMART on FHIR Authorization + EHR Launch Context</w:t>
      </w:r>
    </w:p>
    <w:p>
      <w:pPr>
        <w:spacing w:after="100" w:before="60"/>
      </w:pPr>
      <w:r>
        <w:rPr>
          <w:rFonts w:ascii="Arial" w:cs="Arial" w:eastAsia="Arial" w:hAnsi="Arial"/>
          <w:color w:val="475569"/>
          <w:sz w:val="22"/>
          <w:szCs w:val="22"/>
        </w:rPr>
        <w:t xml:space="preserve">Every production API call must use SMART on FHIR authorization. This requires implementing the Authorization Code flow with PKCE for EHR-launched apps, and the Client Credentials flow for system-to-system data pushes. Critically, EHR launch context must be implemented — the handshake that allows FaceMetrics to launch from within the EHR interface with the patient already identified. Without launch context, clinicians must manually re-enter patient identifiers, creating data entry risk and workflow rejection.</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Step 5 — ICD-10 / CPT Code Integration</w:t>
      </w:r>
    </w:p>
    <w:p>
      <w:pPr>
        <w:spacing w:after="100" w:before="60"/>
      </w:pPr>
      <w:r>
        <w:rPr>
          <w:rFonts w:ascii="Arial" w:cs="Arial" w:eastAsia="Arial" w:hAnsi="Arial"/>
          <w:color w:val="475569"/>
          <w:sz w:val="22"/>
          <w:szCs w:val="22"/>
        </w:rPr>
        <w:t xml:space="preserve">FaceMetrics measurement sessions may be billable under CPT 92340 (fitting of spectacle frames, monofocal) or CPT 92342 (multifocal). If FaceMetrics data flows into a billing workflow, it must carry correct CPT code mapping and must not corrupt the practice's claim submission. This requires explicit mapping logic and testing against each EHR's billing module. Legal review by a healthcare billing compliance attorney is required before any billing-adjacent feature is released.</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Step 6 — HL7 v2 Fallback Translation Layer</w:t>
      </w:r>
    </w:p>
    <w:p>
      <w:pPr>
        <w:spacing w:after="100" w:before="60"/>
      </w:pPr>
      <w:r>
        <w:rPr>
          <w:rFonts w:ascii="Arial" w:cs="Arial" w:eastAsia="Arial" w:hAnsi="Arial"/>
          <w:color w:val="475569"/>
          <w:sz w:val="22"/>
          <w:szCs w:val="22"/>
        </w:rPr>
        <w:t xml:space="preserve">Despite FHIR mandates, approximately 85% of real-time clinical data exchange still flows over HL7 v2. Crystal PM and some Compulink deployments require HL7 v2 support. FaceMetrics needs a middleware translation layer (Mirth Connect, Azure Health Data Services, or Rhapsody) bridging FHIR and HL7 v2 without requiring duplicate codebases. This is a platform-level infrastructure investment, not a per-integration effort.</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Step 7 — SOC 2 Type II Certification</w:t>
      </w:r>
    </w:p>
    <w:p>
      <w:pPr>
        <w:spacing w:after="100" w:before="60"/>
      </w:pPr>
      <w:r>
        <w:rPr>
          <w:rFonts w:ascii="Arial" w:cs="Arial" w:eastAsia="Arial" w:hAnsi="Arial"/>
          <w:color w:val="475569"/>
          <w:sz w:val="22"/>
          <w:szCs w:val="22"/>
        </w:rPr>
        <w:t xml:space="preserve">Every major optical EHR vendor's partner program requires evidence of SOC 2 Type II certification before granting production API access. Eyefinity's partner program explicitly requires it. Epic's security questionnaire maps to SOC 2 controls. Without SOC 2, partner approval processes will stall at the security review stage for every major EHR integration. Budget 12–18 months and $40,000–$120,000 for the initial Type II audit. Begin the engagement immediately.</w:t>
      </w:r>
    </w:p>
    <w:p>
      <w:pPr>
        <w:spacing w:after="60" w:before="60"/>
      </w:pPr>
      <w:r>
        <w:t xml:space="preserve"/>
      </w:r>
    </w:p>
    <w:p>
      <w:pPr>
        <w:pStyle w:val="Heading3"/>
        <w:spacing w:after="60" w:before="200"/>
      </w:pPr>
      <w:r>
        <w:rPr>
          <w:rFonts w:ascii="Arial" w:cs="Arial" w:eastAsia="Arial" w:hAnsi="Arial"/>
          <w:b/>
          <w:bCs/>
          <w:color w:val="0B1D2E"/>
          <w:sz w:val="22"/>
          <w:szCs w:val="22"/>
        </w:rPr>
        <w:t xml:space="preserve">Step 8 — Partner Program Enrollment</w:t>
      </w:r>
    </w:p>
    <w:p>
      <w:pPr>
        <w:spacing w:after="100" w:before="60"/>
      </w:pPr>
      <w:r>
        <w:rPr>
          <w:rFonts w:ascii="Arial" w:cs="Arial" w:eastAsia="Arial" w:hAnsi="Arial"/>
          <w:color w:val="475569"/>
          <w:sz w:val="22"/>
          <w:szCs w:val="22"/>
        </w:rPr>
        <w:t xml:space="preserve">Each EHR vendor operates a proprietary partner approval process independent of FHIR compliance. Eyefinity requires a vendor partnership application with a multi-month review. RevolutionEHR has an open integration marketplace with lighter requirements. Epic requires Connector Builder certification. Compulink requires a custom SDK agreement. Start partner enrollment immediately — do not wait for technical development to complete. These are business and legal processes that run in parallel.</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4.2 Integration Timeline by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900"/>
        <w:gridCol w:w="2660"/>
      </w:tblGrid>
      <w:tr>
        <w:trPr>
          <w:tblHeader/>
        </w:trPr>
        <w:tc>
          <w:tcPr>
            <w:tcW w:type="dxa" w:w="18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EHR Vendor</w:t>
            </w:r>
          </w:p>
        </w:tc>
        <w:tc>
          <w:tcPr>
            <w:tcW w:type="dxa" w:w="16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Primary API</w:t>
            </w:r>
          </w:p>
        </w:tc>
        <w:tc>
          <w:tcPr>
            <w:tcW w:type="dxa" w:w="14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w:t>
            </w:r>
          </w:p>
        </w:tc>
        <w:tc>
          <w:tcPr>
            <w:tcW w:type="dxa" w:w="19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Integration Timeline</w:t>
            </w:r>
          </w:p>
        </w:tc>
        <w:tc>
          <w:tcPr>
            <w:tcW w:type="dxa" w:w="266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Complexity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RevolutionEHR</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REST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4–8 weeks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66534"/>
                <w:sz w:val="19"/>
                <w:szCs w:val="19"/>
              </w:rPr>
              <w:t xml:space="preserve">Low — developer-friendly</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Eye Cloud Pro</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REST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OAuth 2.0</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3–6 weeks</w:t>
            </w:r>
          </w:p>
        </w:tc>
        <w:tc>
          <w:tcPr>
            <w:tcW w:type="dxa" w:w="2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66534"/>
                <w:sz w:val="19"/>
                <w:szCs w:val="19"/>
              </w:rPr>
              <w:t xml:space="preserve">Low — open architecture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MaximEyes (cloud)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6–10 weeks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66534"/>
                <w:sz w:val="19"/>
                <w:szCs w:val="19"/>
              </w:rPr>
              <w:t xml:space="preserve">Low–Medium</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Eyefinity (Encompass)</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REST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OAuth 2.0 + PKCE</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8–14 weeks (partner review)</w:t>
            </w:r>
          </w:p>
        </w:tc>
        <w:tc>
          <w:tcPr>
            <w:tcW w:type="dxa" w:w="2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D97706"/>
                <w:sz w:val="19"/>
                <w:szCs w:val="19"/>
              </w:rPr>
              <w:t xml:space="preserve">Medium — partner approval bottleneck</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athenahealth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8–14 weeks (marketplace review)</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D97706"/>
                <w:sz w:val="19"/>
                <w:szCs w:val="19"/>
              </w:rPr>
              <w:t xml:space="preserve">Medium</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Compulink</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 SDK</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OAuth 2.0</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12–20 weeks</w:t>
            </w:r>
          </w:p>
        </w:tc>
        <w:tc>
          <w:tcPr>
            <w:tcW w:type="dxa" w:w="2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D97706"/>
                <w:sz w:val="19"/>
                <w:szCs w:val="19"/>
              </w:rPr>
              <w:t xml:space="preserve">Medium–High — proprietary Rx fields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Crystal PM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HL7 v2.x</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Custom token</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16–24 weeks</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0392B"/>
                <w:sz w:val="19"/>
                <w:szCs w:val="19"/>
              </w:rPr>
              <w:t xml:space="preserve">High — HL7 translation required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OfficeMate / ExamWRITER</w:t>
            </w:r>
          </w:p>
        </w:tc>
        <w:tc>
          <w:tcPr>
            <w:tcW w:type="dxa" w:w="1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SQL Server direct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Windows Auth</w:t>
            </w:r>
          </w:p>
        </w:tc>
        <w:tc>
          <w:tcPr>
            <w:tcW w:type="dxa" w:w="1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20–30 weeks + legal</w:t>
            </w:r>
          </w:p>
        </w:tc>
        <w:tc>
          <w:tcPr>
            <w:tcW w:type="dxa" w:w="2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C0392B"/>
                <w:sz w:val="19"/>
                <w:szCs w:val="19"/>
              </w:rPr>
              <w:t xml:space="preserve">Very High — avoid direct DB access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Epic (ophthalmology)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 + CDS Hooks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16–28 weeks (Connector Builder)</w:t>
            </w:r>
          </w:p>
        </w:tc>
        <w:tc>
          <w:tcPr>
            <w:tcW w:type="dxa" w:w="2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0392B"/>
                <w:sz w:val="19"/>
                <w:szCs w:val="19"/>
              </w:rPr>
              <w:t xml:space="preserve">High — extensive review; target Year 2</w:t>
            </w:r>
          </w:p>
        </w:tc>
      </w:tr>
    </w:tbl>
    <w:p>
      <w:pPr>
        <w:spacing w:after="180" w:before="0"/>
      </w:pPr>
      <w:r>
        <w:t xml:space="preserve"/>
      </w:r>
    </w:p>
    <w:p>
      <w:pPr>
        <w:pBdr>
          <w:bottom w:val="single" w:color="E2E8F0" w:sz="2" w:space="4"/>
        </w:pBdr>
        <w:spacing w:after="0" w:before="240"/>
      </w:pPr>
      <w:r>
        <w:t xml:space="preserve"/>
      </w:r>
    </w:p>
    <w:p>
      <w:pPr>
        <w:pStyle w:val="Heading1"/>
        <w:pBdr>
          <w:bottom w:val="single" w:color="007B97" w:sz="6" w:space="4"/>
        </w:pBdr>
        <w:spacing w:after="120" w:before="360"/>
      </w:pPr>
      <w:r>
        <w:rPr>
          <w:rFonts w:ascii="Arial" w:cs="Arial" w:eastAsia="Arial" w:hAnsi="Arial"/>
          <w:b/>
          <w:bCs/>
          <w:color w:val="0B1D2E"/>
          <w:sz w:val="30"/>
          <w:szCs w:val="30"/>
        </w:rPr>
        <w:t xml:space="preserve">5. Shortfalls That Will Lead to Violations</w:t>
      </w:r>
    </w:p>
    <w:p>
      <w:pPr>
        <w:spacing w:after="100" w:before="60"/>
      </w:pPr>
      <w:r>
        <w:rPr>
          <w:rFonts w:ascii="Arial" w:cs="Arial" w:eastAsia="Arial" w:hAnsi="Arial"/>
          <w:color w:val="475569"/>
          <w:sz w:val="22"/>
          <w:szCs w:val="22"/>
        </w:rPr>
        <w:t xml:space="preserve">The following shortfalls represent the most probable paths to regulatory violation exposure based on the current FaceMetrics architecture, pricing model, and stated integration plans. Each is rated by severity and includes a specific remediation action.</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5.1 — CRITICAL: No BAA Before Production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6"/>
              <w:bottom w:val="single" w:color="C0392B" w:sz="1"/>
              <w:right w:val="single" w:color="C0392B" w:sz="1"/>
            </w:tcBorders>
            <w:shd w:fill="FEE2E2"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CRITICAL — Direct HIPAA violation on first production session. Penalties: $100–$50,000 per affected record, up to $1.9M per category per year.</w:t>
            </w:r>
          </w:p>
        </w:tc>
      </w:tr>
    </w:tbl>
    <w:p>
      <w:pPr>
        <w:spacing w:after="80" w:before="60"/>
      </w:pPr>
      <w:r>
        <w:t xml:space="preserve"/>
      </w:r>
    </w:p>
    <w:p>
      <w:pPr>
        <w:spacing w:after="100" w:before="60"/>
      </w:pPr>
      <w:r>
        <w:rPr>
          <w:rFonts w:ascii="Arial" w:cs="Arial" w:eastAsia="Arial" w:hAnsi="Arial"/>
          <w:color w:val="475569"/>
          <w:sz w:val="22"/>
          <w:szCs w:val="22"/>
        </w:rPr>
        <w:t xml:space="preserve">Transmitting any patient-linked facial measurement data to or from an EHR without a signed HIPAA Business Associate Agreement in place is a direct HIPAA violation. The common and costly mistake is beginning integration testing with real patient data from a pilot practice before the BAA is executed. Even test environments with real patient identifiers require a BAA. Penalties apply per record affected, not per event.</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Execute BAA with each EHR vendor before any API call involving real patient data</w:t>
      </w:r>
    </w:p>
    <w:p>
      <w:pPr>
        <w:pStyle w:val="ListParagraph"/>
        <w:numPr>
          <w:ilvl w:val="0"/>
          <w:numId w:val="2"/>
        </w:numPr>
        <w:spacing w:after="40" w:before="40"/>
      </w:pPr>
      <w:r>
        <w:rPr>
          <w:rFonts w:ascii="Arial" w:cs="Arial" w:eastAsia="Arial" w:hAnsi="Arial"/>
          <w:color w:val="475569"/>
          <w:sz w:val="22"/>
          <w:szCs w:val="22"/>
        </w:rPr>
        <w:t xml:space="preserve">Use fully synthetic de-identified test data in all pre-BAA development and QA environments</w:t>
      </w:r>
    </w:p>
    <w:p>
      <w:pPr>
        <w:pStyle w:val="ListParagraph"/>
        <w:numPr>
          <w:ilvl w:val="0"/>
          <w:numId w:val="2"/>
        </w:numPr>
        <w:spacing w:after="40" w:before="40"/>
      </w:pPr>
      <w:r>
        <w:rPr>
          <w:rFonts w:ascii="Arial" w:cs="Arial" w:eastAsia="Arial" w:hAnsi="Arial"/>
          <w:color w:val="475569"/>
          <w:sz w:val="22"/>
          <w:szCs w:val="22"/>
        </w:rPr>
        <w:t xml:space="preserve">Designate a HIPAA Privacy Officer before first integration goes to production</w:t>
      </w:r>
    </w:p>
    <w:p>
      <w:pPr>
        <w:pStyle w:val="ListParagraph"/>
        <w:numPr>
          <w:ilvl w:val="0"/>
          <w:numId w:val="2"/>
        </w:numPr>
        <w:spacing w:after="40" w:before="40"/>
      </w:pPr>
      <w:r>
        <w:rPr>
          <w:rFonts w:ascii="Arial" w:cs="Arial" w:eastAsia="Arial" w:hAnsi="Arial"/>
          <w:color w:val="475569"/>
          <w:sz w:val="22"/>
          <w:szCs w:val="22"/>
        </w:rPr>
        <w:t xml:space="preserve">Maintain a BAA log tracking execution status, effective date, and renewal dates for all vendor and practice agreements</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5.2 — CRITICAL: Information Blocking via Tiered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6"/>
              <w:bottom w:val="single" w:color="C0392B" w:sz="1"/>
              <w:right w:val="single" w:color="C0392B" w:sz="1"/>
            </w:tcBorders>
            <w:shd w:fill="FEE2E2"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CRITICAL — 21st Century Cures Act violation. Penalties: up to $1 million per violation for health IT developers. HHS enforcement active as of September 2025.</w:t>
            </w:r>
          </w:p>
        </w:tc>
      </w:tr>
    </w:tbl>
    <w:p>
      <w:pPr>
        <w:spacing w:after="80" w:before="60"/>
      </w:pPr>
      <w:r>
        <w:t xml:space="preserve"/>
      </w:r>
    </w:p>
    <w:p>
      <w:pPr>
        <w:spacing w:after="100" w:before="60"/>
      </w:pPr>
      <w:r>
        <w:rPr>
          <w:rFonts w:ascii="Arial" w:cs="Arial" w:eastAsia="Arial" w:hAnsi="Arial"/>
          <w:color w:val="475569"/>
          <w:sz w:val="22"/>
          <w:szCs w:val="22"/>
        </w:rPr>
        <w:t xml:space="preserve">The 21st Century Cures Act Information Blocking Provision mandates that patients have unfettered, free access to their Electronic Health Information (EHI). FaceMetrics' tiered pricing model creates a direct exposure: if asymmetry data is written into a patient's EHR record but is inaccessible to the patient or care team because the practice is on the free Starter tier, this constitutes information blocking of EHI. The tier gates access to data already in the patient's health record — which is precisely what the Act prohibits. Additionally, if FaceMetrics restricts an EHR's ability to read FaceMetrics-generated records via API for any commercial reason, this is also information blocking.</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All measurement data written into an EHR must be readable by the patient and their care team regardless of FaceMetrics pricing tier</w:t>
      </w:r>
    </w:p>
    <w:p>
      <w:pPr>
        <w:pStyle w:val="ListParagraph"/>
        <w:numPr>
          <w:ilvl w:val="0"/>
          <w:numId w:val="2"/>
        </w:numPr>
        <w:spacing w:after="40" w:before="40"/>
      </w:pPr>
      <w:r>
        <w:rPr>
          <w:rFonts w:ascii="Arial" w:cs="Arial" w:eastAsia="Arial" w:hAnsi="Arial"/>
          <w:color w:val="475569"/>
          <w:sz w:val="22"/>
          <w:szCs w:val="22"/>
        </w:rPr>
        <w:t xml:space="preserve">Monetize the analytics dashboard, workflow tooling, and API session volume — not patient data access</w:t>
      </w:r>
    </w:p>
    <w:p>
      <w:pPr>
        <w:pStyle w:val="ListParagraph"/>
        <w:numPr>
          <w:ilvl w:val="0"/>
          <w:numId w:val="2"/>
        </w:numPr>
        <w:spacing w:after="40" w:before="40"/>
      </w:pPr>
      <w:r>
        <w:rPr>
          <w:rFonts w:ascii="Arial" w:cs="Arial" w:eastAsia="Arial" w:hAnsi="Arial"/>
          <w:color w:val="475569"/>
          <w:sz w:val="22"/>
          <w:szCs w:val="22"/>
        </w:rPr>
        <w:t xml:space="preserve">Engage ONC compliance counsel to confirm classification as a Health IT Developer and scope of information blocking obligations before production launch</w:t>
      </w:r>
    </w:p>
    <w:p>
      <w:pPr>
        <w:pStyle w:val="ListParagraph"/>
        <w:numPr>
          <w:ilvl w:val="0"/>
          <w:numId w:val="2"/>
        </w:numPr>
        <w:spacing w:after="40" w:before="40"/>
      </w:pPr>
      <w:r>
        <w:rPr>
          <w:rFonts w:ascii="Arial" w:cs="Arial" w:eastAsia="Arial" w:hAnsi="Arial"/>
          <w:color w:val="475569"/>
          <w:sz w:val="22"/>
          <w:szCs w:val="22"/>
        </w:rPr>
        <w:t xml:space="preserve">Add information blocking exception documentation — specifically the Privacy Exception and Security Exception — to the legal compliance framework</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5.3 — CRITICAL: Direct SQL Access to OfficeMate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6"/>
              <w:bottom w:val="single" w:color="C0392B" w:sz="1"/>
              <w:right w:val="single" w:color="C0392B" w:sz="1"/>
            </w:tcBorders>
            <w:shd w:fill="FEE2E2"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CRITICAL — HIPAA Security Rule violations (§164.312: audit controls, access control, integrity). No auditable record of data access or modification.</w:t>
            </w:r>
          </w:p>
        </w:tc>
      </w:tr>
    </w:tbl>
    <w:p>
      <w:pPr>
        <w:spacing w:after="80" w:before="60"/>
      </w:pPr>
      <w:r>
        <w:t xml:space="preserve"/>
      </w:r>
    </w:p>
    <w:p>
      <w:pPr>
        <w:spacing w:after="100" w:before="60"/>
      </w:pPr>
      <w:r>
        <w:rPr>
          <w:rFonts w:ascii="Arial" w:cs="Arial" w:eastAsia="Arial" w:hAnsi="Arial"/>
          <w:color w:val="475569"/>
          <w:sz w:val="22"/>
          <w:szCs w:val="22"/>
        </w:rPr>
        <w:t xml:space="preserve">OfficeMate / ExamWRITER's integration model uses direct Windows Authentication to an SQL Server database. Any third-party tool writing to this database bypasses all EHR-level audit logging, access controls, and data integrity checks. There is no auditable record of what FaceMetrics read or wrote, no token expiry, no scope limitation, and no ability to revoke access if a breach occurs. HIPAA Security Rule §164.312 requires covered entities to implement audit controls, access control, and data integrity protections — direct SQL access satisfies none of these.</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Do not integrate with OfficeMate via direct SQL access under any circumstances</w:t>
      </w:r>
    </w:p>
    <w:p>
      <w:pPr>
        <w:pStyle w:val="ListParagraph"/>
        <w:numPr>
          <w:ilvl w:val="0"/>
          <w:numId w:val="2"/>
        </w:numPr>
        <w:spacing w:after="40" w:before="40"/>
      </w:pPr>
      <w:r>
        <w:rPr>
          <w:rFonts w:ascii="Arial" w:cs="Arial" w:eastAsia="Arial" w:hAnsi="Arial"/>
          <w:color w:val="475569"/>
          <w:sz w:val="22"/>
          <w:szCs w:val="22"/>
        </w:rPr>
        <w:t xml:space="preserve">For these practices, wait for migration to Eyefinity Encompass which exposes a FHIR R4 layer</w:t>
      </w:r>
    </w:p>
    <w:p>
      <w:pPr>
        <w:pStyle w:val="ListParagraph"/>
        <w:numPr>
          <w:ilvl w:val="0"/>
          <w:numId w:val="2"/>
        </w:numPr>
        <w:spacing w:after="40" w:before="40"/>
      </w:pPr>
      <w:r>
        <w:rPr>
          <w:rFonts w:ascii="Arial" w:cs="Arial" w:eastAsia="Arial" w:hAnsi="Arial"/>
          <w:color w:val="475569"/>
          <w:sz w:val="22"/>
          <w:szCs w:val="22"/>
        </w:rPr>
        <w:t xml:space="preserve">If integration is commercially essential before migration, use a certified integration middleware that wraps SQL access in HIPAA-compliant audit logging, role-based access control, and access revocation capability</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5.4 — HIGH RISK: Biometric Data Under BIPA and State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6"/>
              <w:bottom w:val="single" w:color="D97706" w:sz="1"/>
              <w:right w:val="single" w:color="D97706" w:sz="1"/>
            </w:tcBorders>
            <w:shd w:fill="FEF3C7"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High — Illinois BIPA statutory damages $1,000–$5,000 per violation per person. Class action exposure. Facebook settled for $650M; Google for $100M.</w:t>
            </w:r>
          </w:p>
        </w:tc>
      </w:tr>
    </w:tbl>
    <w:p>
      <w:pPr>
        <w:spacing w:after="80" w:before="60"/>
      </w:pPr>
      <w:r>
        <w:t xml:space="preserve"/>
      </w:r>
    </w:p>
    <w:p>
      <w:pPr>
        <w:spacing w:after="100" w:before="60"/>
      </w:pPr>
      <w:r>
        <w:rPr>
          <w:rFonts w:ascii="Arial" w:cs="Arial" w:eastAsia="Arial" w:hAnsi="Arial"/>
          <w:color w:val="475569"/>
          <w:sz w:val="22"/>
          <w:szCs w:val="22"/>
        </w:rPr>
        <w:t xml:space="preserve">Facial measurements derived from camera images may constitute biometric identifiers under the Illinois Biometric Information Privacy Act (BIPA), Texas Capture or Use of Biometric Identifier Act (CUBI), and Washington My Health MY Data Act. BIPA requires: (1) written informed consent before collecting biometric identifiers; (2) a publicly available retention schedule; and (3) prohibition on selling or profiting from biometric data without explicit consent. Statutory damages apply per person per violation, making class action exposure significant in high-session-volume deployments. If FaceMetrics sessions are conducted in Illinois, Texas, or Washington without BIPA-compliant consent flows, every session is a potential class action trigger.</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Implement geo-aware consent flows that trigger BIPA-specific language in Illinois, Texas, and Washington before any measurement session begins</w:t>
      </w:r>
    </w:p>
    <w:p>
      <w:pPr>
        <w:pStyle w:val="ListParagraph"/>
        <w:numPr>
          <w:ilvl w:val="0"/>
          <w:numId w:val="2"/>
        </w:numPr>
        <w:spacing w:after="40" w:before="40"/>
      </w:pPr>
      <w:r>
        <w:rPr>
          <w:rFonts w:ascii="Arial" w:cs="Arial" w:eastAsia="Arial" w:hAnsi="Arial"/>
          <w:color w:val="475569"/>
          <w:sz w:val="22"/>
          <w:szCs w:val="22"/>
        </w:rPr>
        <w:t xml:space="preserve">Engage biometric privacy counsel before launch in these states — this is not a task for general HIPAA counsel</w:t>
      </w:r>
    </w:p>
    <w:p>
      <w:pPr>
        <w:pStyle w:val="ListParagraph"/>
        <w:numPr>
          <w:ilvl w:val="0"/>
          <w:numId w:val="2"/>
        </w:numPr>
        <w:spacing w:after="40" w:before="40"/>
      </w:pPr>
      <w:r>
        <w:rPr>
          <w:rFonts w:ascii="Arial" w:cs="Arial" w:eastAsia="Arial" w:hAnsi="Arial"/>
          <w:color w:val="475569"/>
          <w:sz w:val="22"/>
          <w:szCs w:val="22"/>
        </w:rPr>
        <w:t xml:space="preserve">Confirm that no raw facial images are retained server-side — processing landmarks only reduces (but does not eliminate) BIPA exposure</w:t>
      </w:r>
    </w:p>
    <w:p>
      <w:pPr>
        <w:pStyle w:val="ListParagraph"/>
        <w:numPr>
          <w:ilvl w:val="0"/>
          <w:numId w:val="2"/>
        </w:numPr>
        <w:spacing w:after="40" w:before="40"/>
      </w:pPr>
      <w:r>
        <w:rPr>
          <w:rFonts w:ascii="Arial" w:cs="Arial" w:eastAsia="Arial" w:hAnsi="Arial"/>
          <w:color w:val="475569"/>
          <w:sz w:val="22"/>
          <w:szCs w:val="22"/>
        </w:rPr>
        <w:t xml:space="preserve">Publish a biometric data retention schedule as a publicly available policy document</w:t>
      </w:r>
    </w:p>
    <w:p>
      <w:pPr>
        <w:pStyle w:val="ListParagraph"/>
        <w:numPr>
          <w:ilvl w:val="0"/>
          <w:numId w:val="2"/>
        </w:numPr>
        <w:spacing w:after="40" w:before="40"/>
      </w:pPr>
      <w:r>
        <w:rPr>
          <w:rFonts w:ascii="Arial" w:cs="Arial" w:eastAsia="Arial" w:hAnsi="Arial"/>
          <w:color w:val="475569"/>
          <w:sz w:val="22"/>
          <w:szCs w:val="22"/>
        </w:rPr>
        <w:t xml:space="preserve">Explicit policy: FaceMetrics will never sell or license biometric identifiers; only aggregated anonymized measurement statistics</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5.5 — HIGH RISK: Missing LOINC Terminology Codes (USCDI v3 Non-compliance)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6"/>
              <w:bottom w:val="single" w:color="D97706" w:sz="1"/>
              <w:right w:val="single" w:color="D97706" w:sz="1"/>
            </w:tcBorders>
            <w:shd w:fill="FEF3C7"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High — USCDI v3 mandatory since 2024. FHIR resource writes will fail validation in compliant EHRs without proper terminology codes. Data siloing risk.</w:t>
            </w:r>
          </w:p>
        </w:tc>
      </w:tr>
    </w:tbl>
    <w:p>
      <w:pPr>
        <w:spacing w:after="80" w:before="60"/>
      </w:pPr>
      <w:r>
        <w:t xml:space="preserve"/>
      </w:r>
    </w:p>
    <w:p>
      <w:pPr>
        <w:spacing w:after="100" w:before="60"/>
      </w:pPr>
      <w:r>
        <w:rPr>
          <w:rFonts w:ascii="Arial" w:cs="Arial" w:eastAsia="Arial" w:hAnsi="Arial"/>
          <w:color w:val="475569"/>
          <w:sz w:val="22"/>
          <w:szCs w:val="22"/>
        </w:rPr>
        <w:t xml:space="preserve">USCDI v3, mandatory since 2024, requires that clinical data written into certified EHRs uses standardized terminology — specifically LOINC codes for observations and SNOMED CT codes for clinical findings. If FaceMetrics writes PD measurements as free-text strings or proprietary codes rather than LOINC-coded Observation resources, the receiving EHR will reject the write or store it as unstructured text. No LOINC code for pupillary distance, bridge width, or lens height currently exists in published form. FaceMetrics must request code assignment from the Regenstrief Institute, which takes 3–6 months to process. Until codes are assigned, interim mapping to the closest existing body measurement codes with extension qualifiers is required.</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Initiate LOINC code request for pupillary distance, bridge width, lens height, face width, and temple length immediately — this is a 3–6 month process that cannot be accelerated</w:t>
      </w:r>
    </w:p>
    <w:p>
      <w:pPr>
        <w:pStyle w:val="ListParagraph"/>
        <w:numPr>
          <w:ilvl w:val="0"/>
          <w:numId w:val="2"/>
        </w:numPr>
        <w:spacing w:after="40" w:before="40"/>
      </w:pPr>
      <w:r>
        <w:rPr>
          <w:rFonts w:ascii="Arial" w:cs="Arial" w:eastAsia="Arial" w:hAnsi="Arial"/>
          <w:color w:val="475569"/>
          <w:sz w:val="22"/>
          <w:szCs w:val="22"/>
        </w:rPr>
        <w:t xml:space="preserve">In the interim, engage a clinical terminology specialist to map all five measurements and the asymmetry fields to the closest existing LOINC body measurement codes with appropriate extension qualifiers</w:t>
      </w:r>
    </w:p>
    <w:p>
      <w:pPr>
        <w:pStyle w:val="ListParagraph"/>
        <w:numPr>
          <w:ilvl w:val="0"/>
          <w:numId w:val="2"/>
        </w:numPr>
        <w:spacing w:after="40" w:before="40"/>
      </w:pPr>
      <w:r>
        <w:rPr>
          <w:rFonts w:ascii="Arial" w:cs="Arial" w:eastAsia="Arial" w:hAnsi="Arial"/>
          <w:color w:val="475569"/>
          <w:sz w:val="22"/>
          <w:szCs w:val="22"/>
        </w:rPr>
        <w:t xml:space="preserve">Map asymmetry severity classification to SNOMED CT codes for facial asymmetry (SNOMED CT: 58734001 — facial asymmetry)</w:t>
      </w:r>
    </w:p>
    <w:p>
      <w:pPr>
        <w:pStyle w:val="ListParagraph"/>
        <w:numPr>
          <w:ilvl w:val="0"/>
          <w:numId w:val="2"/>
        </w:numPr>
        <w:spacing w:after="40" w:before="40"/>
      </w:pPr>
      <w:r>
        <w:rPr>
          <w:rFonts w:ascii="Arial" w:cs="Arial" w:eastAsia="Arial" w:hAnsi="Arial"/>
          <w:color w:val="475569"/>
          <w:sz w:val="22"/>
          <w:szCs w:val="22"/>
        </w:rPr>
        <w:t xml:space="preserve">Do not launch production EHR integrations until at least interim terminology mapping has been validated against the target EHR's FHIR validator</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5.6 — HIGH RISK: GDPR Exposure for International Users or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6"/>
              <w:bottom w:val="single" w:color="D97706" w:sz="1"/>
              <w:right w:val="single" w:color="D97706" w:sz="1"/>
            </w:tcBorders>
            <w:shd w:fill="FEF3C7"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High — GDPR fines up to 4% of global annual revenue or €20M. Facial measurement data is Article 9 special category biometric data.</w:t>
            </w:r>
          </w:p>
        </w:tc>
      </w:tr>
    </w:tbl>
    <w:p>
      <w:pPr>
        <w:spacing w:after="80" w:before="60"/>
      </w:pPr>
      <w:r>
        <w:t xml:space="preserve"/>
      </w:r>
    </w:p>
    <w:p>
      <w:pPr>
        <w:spacing w:after="100" w:before="60"/>
      </w:pPr>
      <w:r>
        <w:rPr>
          <w:rFonts w:ascii="Arial" w:cs="Arial" w:eastAsia="Arial" w:hAnsi="Arial"/>
          <w:color w:val="475569"/>
          <w:sz w:val="22"/>
          <w:szCs w:val="22"/>
        </w:rPr>
        <w:t xml:space="preserve">FHIR compliance does not equal GDPR compliance. If FaceMetrics processes measurement sessions for EU-based optical practices, or if facial landmark data from EU patients transits US servers at any point, GDPR Article 9 applies. Facial measurement data derived from images is biometric data — a special category requiring explicit, informed, freely given consent separate from any other consent. The EU's European Health Data Space (EHDS) regulation, passed in 2024, requires all 27 member states to open patient data through standardized connections by 2027–2028, creating both compliance obligations and a significant market opportunity.</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Implement GDPR-compliant consent layer triggered by EU locale detection before any measurement session for EU users</w:t>
      </w:r>
    </w:p>
    <w:p>
      <w:pPr>
        <w:pStyle w:val="ListParagraph"/>
        <w:numPr>
          <w:ilvl w:val="0"/>
          <w:numId w:val="2"/>
        </w:numPr>
        <w:spacing w:after="40" w:before="40"/>
      </w:pPr>
      <w:r>
        <w:rPr>
          <w:rFonts w:ascii="Arial" w:cs="Arial" w:eastAsia="Arial" w:hAnsi="Arial"/>
          <w:color w:val="475569"/>
          <w:sz w:val="22"/>
          <w:szCs w:val="22"/>
        </w:rPr>
        <w:t xml:space="preserve">Ensure all EU patient data is processed and stored within EU infrastructure (AWS Frankfurt, EU-West, or equivalent)</w:t>
      </w:r>
    </w:p>
    <w:p>
      <w:pPr>
        <w:pStyle w:val="ListParagraph"/>
        <w:numPr>
          <w:ilvl w:val="0"/>
          <w:numId w:val="2"/>
        </w:numPr>
        <w:spacing w:after="40" w:before="40"/>
      </w:pPr>
      <w:r>
        <w:rPr>
          <w:rFonts w:ascii="Arial" w:cs="Arial" w:eastAsia="Arial" w:hAnsi="Arial"/>
          <w:color w:val="475569"/>
          <w:sz w:val="22"/>
          <w:szCs w:val="22"/>
        </w:rPr>
        <w:t xml:space="preserve">Appoint a GDPR Data Protection Officer (DPO) before accepting any EU-based integration partners</w:t>
      </w:r>
    </w:p>
    <w:p>
      <w:pPr>
        <w:pStyle w:val="ListParagraph"/>
        <w:numPr>
          <w:ilvl w:val="0"/>
          <w:numId w:val="2"/>
        </w:numPr>
        <w:spacing w:after="40" w:before="40"/>
      </w:pPr>
      <w:r>
        <w:rPr>
          <w:rFonts w:ascii="Arial" w:cs="Arial" w:eastAsia="Arial" w:hAnsi="Arial"/>
          <w:color w:val="475569"/>
          <w:sz w:val="22"/>
          <w:szCs w:val="22"/>
        </w:rPr>
        <w:t xml:space="preserve">Never route EU patient facial landmarks or measurements through US-based processing infrastructure</w:t>
      </w:r>
    </w:p>
    <w:p>
      <w:pPr>
        <w:pStyle w:val="ListParagraph"/>
        <w:numPr>
          <w:ilvl w:val="0"/>
          <w:numId w:val="2"/>
        </w:numPr>
        <w:spacing w:after="40" w:before="40"/>
      </w:pPr>
      <w:r>
        <w:rPr>
          <w:rFonts w:ascii="Arial" w:cs="Arial" w:eastAsia="Arial" w:hAnsi="Arial"/>
          <w:color w:val="475569"/>
          <w:sz w:val="22"/>
          <w:szCs w:val="22"/>
        </w:rPr>
        <w:t xml:space="preserve">Prepare for EHDS compliance requirements by 2027 — this will open significant EU market opportunity</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5.7 — WATCH: CPT Billing Code Misattribution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
              <w:left w:val="single" w:color="1E40AF" w:sz="16"/>
              <w:bottom w:val="single" w:color="1E40AF" w:sz="1"/>
              <w:right w:val="single" w:color="1E40AF" w:sz="1"/>
            </w:tcBorders>
            <w:shd w:fill="DBEAFE"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Watch — Medicare/Medicaid fraud risk if measurement sessions billed without supervising licensed optometrist or ophthalmologist.</w:t>
            </w:r>
          </w:p>
        </w:tc>
      </w:tr>
    </w:tbl>
    <w:p>
      <w:pPr>
        <w:spacing w:after="80" w:before="60"/>
      </w:pPr>
      <w:r>
        <w:t xml:space="preserve"/>
      </w:r>
    </w:p>
    <w:p>
      <w:pPr>
        <w:spacing w:after="100" w:before="60"/>
      </w:pPr>
      <w:r>
        <w:rPr>
          <w:rFonts w:ascii="Arial" w:cs="Arial" w:eastAsia="Arial" w:hAnsi="Arial"/>
          <w:color w:val="475569"/>
          <w:sz w:val="22"/>
          <w:szCs w:val="22"/>
        </w:rPr>
        <w:t xml:space="preserve">If FaceMetrics measurement sessions are billed under CPT codes without a licensed OD or MD supervising the encounter, the claim constitutes Medicare/Medicaid fraud. FaceMetrics must not generate or suggest CPT billing codes autonomously. The EHR integration must position measurement output as supplementary documentation to a qualified clinical encounter, not as a standalone billable service. This risk is most acute in VA telehealth contexts and rural library kiosk deployments where FaceMetrics may be the only clinical touchpoint.</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FaceMetrics must never autonomously generate or suggest CPT billing codes</w:t>
      </w:r>
    </w:p>
    <w:p>
      <w:pPr>
        <w:pStyle w:val="ListParagraph"/>
        <w:numPr>
          <w:ilvl w:val="0"/>
          <w:numId w:val="2"/>
        </w:numPr>
        <w:spacing w:after="40" w:before="40"/>
      </w:pPr>
      <w:r>
        <w:rPr>
          <w:rFonts w:ascii="Arial" w:cs="Arial" w:eastAsia="Arial" w:hAnsi="Arial"/>
          <w:color w:val="475569"/>
          <w:sz w:val="22"/>
          <w:szCs w:val="22"/>
        </w:rPr>
        <w:t xml:space="preserve">All billing-adjacent features require review by a healthcare billing compliance attorney before release</w:t>
      </w:r>
    </w:p>
    <w:p>
      <w:pPr>
        <w:pStyle w:val="ListParagraph"/>
        <w:numPr>
          <w:ilvl w:val="0"/>
          <w:numId w:val="2"/>
        </w:numPr>
        <w:spacing w:after="40" w:before="40"/>
      </w:pPr>
      <w:r>
        <w:rPr>
          <w:rFonts w:ascii="Arial" w:cs="Arial" w:eastAsia="Arial" w:hAnsi="Arial"/>
          <w:color w:val="475569"/>
          <w:sz w:val="22"/>
          <w:szCs w:val="22"/>
        </w:rPr>
        <w:t xml:space="preserve">API documentation must explicitly state that CPT code assignment is the responsibility of the supervising clinician</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5.8 — WATCH: FDA Software as a Medical Device (SaMD) Classification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
              <w:left w:val="single" w:color="1E40AF" w:sz="16"/>
              <w:bottom w:val="single" w:color="1E40AF" w:sz="1"/>
              <w:right w:val="single" w:color="1E40AF" w:sz="1"/>
            </w:tcBorders>
            <w:shd w:fill="DBEAFE" w:val="clear"/>
            <w:tcMar>
              <w:top w:type="dxa" w:w="120"/>
              <w:left w:type="dxa" w:w="200"/>
              <w:bottom w:type="dxa" w:w="120"/>
              <w:right w:type="dxa" w:w="120"/>
            </w:tcMar>
          </w:tcPr>
          <w:p>
            <w:pPr>
              <w:spacing w:after="0" w:before="0"/>
            </w:pPr>
            <w:r>
              <w:rPr>
                <w:rFonts w:ascii="Arial" w:cs="Arial" w:eastAsia="Arial" w:hAnsi="Arial"/>
                <w:i w:val="false"/>
                <w:iCs w:val="false"/>
                <w:color w:val="0B1D2E"/>
                <w:sz w:val="21"/>
                <w:szCs w:val="21"/>
              </w:rPr>
              <w:t xml:space="preserve">Risk level: Watch — Asymmetry severity language may trigger FDA SaMD review. 510(k) clearance or De Novo review required if classified as diagnostic software.</w:t>
            </w:r>
          </w:p>
        </w:tc>
      </w:tr>
    </w:tbl>
    <w:p>
      <w:pPr>
        <w:spacing w:after="80" w:before="60"/>
      </w:pPr>
      <w:r>
        <w:t xml:space="preserve"/>
      </w:r>
    </w:p>
    <w:p>
      <w:pPr>
        <w:spacing w:after="100" w:before="60"/>
      </w:pPr>
      <w:r>
        <w:rPr>
          <w:rFonts w:ascii="Arial" w:cs="Arial" w:eastAsia="Arial" w:hAnsi="Arial"/>
          <w:color w:val="475569"/>
          <w:sz w:val="22"/>
          <w:szCs w:val="22"/>
        </w:rPr>
        <w:t xml:space="preserve">If FaceMetrics' asymmetry detection feature is positioned or interpreted as a clinical diagnostic tool — identifying pathological facial asymmetry associated with neurological conditions, post-stroke recovery, or orbital disease — the FDA may classify it as Software as a Medical Device (SaMD) requiring 510(k) clearance or De Novo review. The current PRD's framing as an eyewear fitting tool keeps FaceMetrics in the wellness/general health category excluded from FDA regulation. However, language such as 'clinically significant asymmetry,' 'severe classification,' or 'optician referral required' in patient-facing output creates diagnostic claim language that approaches the regulatory boundary.</w:t>
      </w:r>
    </w:p>
    <w:p>
      <w:pPr>
        <w:spacing w:after="60" w:before="40"/>
      </w:pPr>
      <w:r>
        <w:t xml:space="preserve"/>
      </w:r>
    </w:p>
    <w:p>
      <w:pPr>
        <w:spacing w:after="100" w:before="60"/>
      </w:pPr>
      <w:r>
        <w:rPr>
          <w:rFonts w:ascii="Arial" w:cs="Arial" w:eastAsia="Arial" w:hAnsi="Arial"/>
          <w:b/>
          <w:bCs/>
          <w:color w:val="166534"/>
          <w:sz w:val="22"/>
          <w:szCs w:val="22"/>
        </w:rPr>
        <w:t xml:space="preserve">Remediation:</w:t>
      </w:r>
    </w:p>
    <w:p>
      <w:pPr>
        <w:pStyle w:val="ListParagraph"/>
        <w:numPr>
          <w:ilvl w:val="0"/>
          <w:numId w:val="2"/>
        </w:numPr>
        <w:spacing w:after="40" w:before="40"/>
      </w:pPr>
      <w:r>
        <w:rPr>
          <w:rFonts w:ascii="Arial" w:cs="Arial" w:eastAsia="Arial" w:hAnsi="Arial"/>
          <w:color w:val="475569"/>
          <w:sz w:val="22"/>
          <w:szCs w:val="22"/>
        </w:rPr>
        <w:t xml:space="preserve">Review all patient-facing and API-facing asymmetry output language with FDA regulatory counsel before production launch</w:t>
      </w:r>
    </w:p>
    <w:p>
      <w:pPr>
        <w:pStyle w:val="ListParagraph"/>
        <w:numPr>
          <w:ilvl w:val="0"/>
          <w:numId w:val="2"/>
        </w:numPr>
        <w:spacing w:after="40" w:before="40"/>
      </w:pPr>
      <w:r>
        <w:rPr>
          <w:rFonts w:ascii="Arial" w:cs="Arial" w:eastAsia="Arial" w:hAnsi="Arial"/>
          <w:color w:val="475569"/>
          <w:sz w:val="22"/>
          <w:szCs w:val="22"/>
        </w:rPr>
        <w:t xml:space="preserve">Frame asymmetry data explicitly as 'measurement quality indicators for eyewear fitting purposes only'</w:t>
      </w:r>
    </w:p>
    <w:p>
      <w:pPr>
        <w:pStyle w:val="ListParagraph"/>
        <w:numPr>
          <w:ilvl w:val="0"/>
          <w:numId w:val="2"/>
        </w:numPr>
        <w:spacing w:after="40" w:before="40"/>
      </w:pPr>
      <w:r>
        <w:rPr>
          <w:rFonts w:ascii="Arial" w:cs="Arial" w:eastAsia="Arial" w:hAnsi="Arial"/>
          <w:color w:val="475569"/>
          <w:sz w:val="22"/>
          <w:szCs w:val="22"/>
        </w:rPr>
        <w:t xml:space="preserve">Add mandatory disclaimer to all asymmetry outputs: 'FaceMetrics measurements are for eyewear fitting purposes only and do not constitute a medical diagnosis or clinical finding'</w:t>
      </w:r>
    </w:p>
    <w:p>
      <w:pPr>
        <w:pStyle w:val="ListParagraph"/>
        <w:numPr>
          <w:ilvl w:val="0"/>
          <w:numId w:val="2"/>
        </w:numPr>
        <w:spacing w:after="40" w:before="40"/>
      </w:pPr>
      <w:r>
        <w:rPr>
          <w:rFonts w:ascii="Arial" w:cs="Arial" w:eastAsia="Arial" w:hAnsi="Arial"/>
          <w:color w:val="475569"/>
          <w:sz w:val="22"/>
          <w:szCs w:val="22"/>
        </w:rPr>
        <w:t xml:space="preserve">Document software risk classification analysis using ISO 14971 framework to establish and maintain FaceMetrics' non-medical-device status</w:t>
      </w:r>
    </w:p>
    <w:p>
      <w:pPr>
        <w:spacing w:after="180" w:before="0"/>
      </w:pPr>
      <w:r>
        <w:t xml:space="preserve"/>
      </w:r>
    </w:p>
    <w:p>
      <w:pPr>
        <w:pBdr>
          <w:bottom w:val="single" w:color="E2E8F0" w:sz="2" w:space="4"/>
        </w:pBdr>
        <w:spacing w:after="0" w:before="240"/>
      </w:pPr>
      <w:r>
        <w:t xml:space="preserve"/>
      </w:r>
    </w:p>
    <w:p>
      <w:pPr>
        <w:pStyle w:val="Heading1"/>
        <w:pBdr>
          <w:bottom w:val="single" w:color="007B97" w:sz="6" w:space="4"/>
        </w:pBdr>
        <w:spacing w:after="120" w:before="360"/>
      </w:pPr>
      <w:r>
        <w:rPr>
          <w:rFonts w:ascii="Arial" w:cs="Arial" w:eastAsia="Arial" w:hAnsi="Arial"/>
          <w:b/>
          <w:bCs/>
          <w:color w:val="0B1D2E"/>
          <w:sz w:val="30"/>
          <w:szCs w:val="30"/>
        </w:rPr>
        <w:t xml:space="preserve">6. Recommended Action Plan</w:t>
      </w:r>
    </w:p>
    <w:p>
      <w:pPr>
        <w:spacing w:after="100" w:before="60"/>
      </w:pPr>
      <w:r>
        <w:rPr>
          <w:rFonts w:ascii="Arial" w:cs="Arial" w:eastAsia="Arial" w:hAnsi="Arial"/>
          <w:color w:val="475569"/>
          <w:sz w:val="22"/>
          <w:szCs w:val="22"/>
        </w:rPr>
        <w:t xml:space="preserve">The following actions are organized by urgency. Items marked Immediate must be completed before any production integration. Items marked Short-term must be completed before the first commercial EHR integration goes live. Long-term items should be incorporated into the Year 2 roadmap.</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Immediate (before any production API call)</w:t>
      </w:r>
    </w:p>
    <w:p>
      <w:pPr>
        <w:pStyle w:val="ListParagraph"/>
        <w:numPr>
          <w:ilvl w:val="0"/>
          <w:numId w:val="3"/>
        </w:numPr>
        <w:spacing w:after="60" w:before="40"/>
      </w:pPr>
      <w:r>
        <w:rPr>
          <w:rFonts w:ascii="Arial" w:cs="Arial" w:eastAsia="Arial" w:hAnsi="Arial"/>
          <w:color w:val="475569"/>
          <w:sz w:val="22"/>
          <w:szCs w:val="22"/>
        </w:rPr>
        <w:t xml:space="preserve">Engage HIPAA Privacy Officer — designate or hire before any integration begins</w:t>
      </w:r>
    </w:p>
    <w:p>
      <w:pPr>
        <w:pStyle w:val="ListParagraph"/>
        <w:numPr>
          <w:ilvl w:val="0"/>
          <w:numId w:val="3"/>
        </w:numPr>
        <w:spacing w:after="60" w:before="40"/>
      </w:pPr>
      <w:r>
        <w:rPr>
          <w:rFonts w:ascii="Arial" w:cs="Arial" w:eastAsia="Arial" w:hAnsi="Arial"/>
          <w:color w:val="475569"/>
          <w:sz w:val="22"/>
          <w:szCs w:val="22"/>
        </w:rPr>
        <w:t xml:space="preserve">Execute BAA with RevolutionEHR — first integration target; BAA needed before any pilot sessions</w:t>
      </w:r>
    </w:p>
    <w:p>
      <w:pPr>
        <w:pStyle w:val="ListParagraph"/>
        <w:numPr>
          <w:ilvl w:val="0"/>
          <w:numId w:val="3"/>
        </w:numPr>
        <w:spacing w:after="60" w:before="40"/>
      </w:pPr>
      <w:r>
        <w:rPr>
          <w:rFonts w:ascii="Arial" w:cs="Arial" w:eastAsia="Arial" w:hAnsi="Arial"/>
          <w:color w:val="475569"/>
          <w:sz w:val="22"/>
          <w:szCs w:val="22"/>
        </w:rPr>
        <w:t xml:space="preserve">Build synthetic test data environment — no real patient data in development or QA</w:t>
      </w:r>
    </w:p>
    <w:p>
      <w:pPr>
        <w:pStyle w:val="ListParagraph"/>
        <w:numPr>
          <w:ilvl w:val="0"/>
          <w:numId w:val="3"/>
        </w:numPr>
        <w:spacing w:after="60" w:before="40"/>
      </w:pPr>
      <w:r>
        <w:rPr>
          <w:rFonts w:ascii="Arial" w:cs="Arial" w:eastAsia="Arial" w:hAnsi="Arial"/>
          <w:color w:val="475569"/>
          <w:sz w:val="22"/>
          <w:szCs w:val="22"/>
        </w:rPr>
        <w:t xml:space="preserve">Engage ONC compliance counsel — confirm Health IT Developer classification scope</w:t>
      </w:r>
    </w:p>
    <w:p>
      <w:pPr>
        <w:pStyle w:val="ListParagraph"/>
        <w:numPr>
          <w:ilvl w:val="0"/>
          <w:numId w:val="3"/>
        </w:numPr>
        <w:spacing w:after="60" w:before="40"/>
      </w:pPr>
      <w:r>
        <w:rPr>
          <w:rFonts w:ascii="Arial" w:cs="Arial" w:eastAsia="Arial" w:hAnsi="Arial"/>
          <w:color w:val="475569"/>
          <w:sz w:val="22"/>
          <w:szCs w:val="22"/>
        </w:rPr>
        <w:t xml:space="preserve">Initiate LOINC code request at Regenstrief Institute — 3–6 month process; start now</w:t>
      </w:r>
    </w:p>
    <w:p>
      <w:pPr>
        <w:pStyle w:val="ListParagraph"/>
        <w:numPr>
          <w:ilvl w:val="0"/>
          <w:numId w:val="3"/>
        </w:numPr>
        <w:spacing w:after="60" w:before="40"/>
      </w:pPr>
      <w:r>
        <w:rPr>
          <w:rFonts w:ascii="Arial" w:cs="Arial" w:eastAsia="Arial" w:hAnsi="Arial"/>
          <w:color w:val="475569"/>
          <w:sz w:val="22"/>
          <w:szCs w:val="22"/>
        </w:rPr>
        <w:t xml:space="preserve">Engage biometric privacy counsel for BIPA assessment — especially if any pilot practice is in Illinois</w:t>
      </w:r>
    </w:p>
    <w:p>
      <w:pPr>
        <w:pStyle w:val="ListParagraph"/>
        <w:numPr>
          <w:ilvl w:val="0"/>
          <w:numId w:val="3"/>
        </w:numPr>
        <w:spacing w:after="60" w:before="40"/>
      </w:pPr>
      <w:r>
        <w:rPr>
          <w:rFonts w:ascii="Arial" w:cs="Arial" w:eastAsia="Arial" w:hAnsi="Arial"/>
          <w:color w:val="475569"/>
          <w:sz w:val="22"/>
          <w:szCs w:val="22"/>
        </w:rPr>
        <w:t xml:space="preserve">Begin SOC 2 Type II engagement with audit firm — 12–18 month process</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Short-term (before first commercial EHR integration)</w:t>
      </w:r>
    </w:p>
    <w:p>
      <w:pPr>
        <w:pStyle w:val="ListParagraph"/>
        <w:numPr>
          <w:ilvl w:val="0"/>
          <w:numId w:val="3"/>
        </w:numPr>
        <w:spacing w:after="60" w:before="40"/>
      </w:pPr>
      <w:r>
        <w:rPr>
          <w:rFonts w:ascii="Arial" w:cs="Arial" w:eastAsia="Arial" w:hAnsi="Arial"/>
          <w:color w:val="475569"/>
          <w:sz w:val="22"/>
          <w:szCs w:val="22"/>
        </w:rPr>
        <w:t xml:space="preserve">Execute partner program enrollment with Eyefinity and RevolutionEHR simultaneously</w:t>
      </w:r>
    </w:p>
    <w:p>
      <w:pPr>
        <w:pStyle w:val="ListParagraph"/>
        <w:numPr>
          <w:ilvl w:val="0"/>
          <w:numId w:val="3"/>
        </w:numPr>
        <w:spacing w:after="60" w:before="40"/>
      </w:pPr>
      <w:r>
        <w:rPr>
          <w:rFonts w:ascii="Arial" w:cs="Arial" w:eastAsia="Arial" w:hAnsi="Arial"/>
          <w:color w:val="475569"/>
          <w:sz w:val="22"/>
          <w:szCs w:val="22"/>
        </w:rPr>
        <w:t xml:space="preserve">Implement SMART on FHIR EHR launch context — required for embedded EHR workflow</w:t>
      </w:r>
    </w:p>
    <w:p>
      <w:pPr>
        <w:pStyle w:val="ListParagraph"/>
        <w:numPr>
          <w:ilvl w:val="0"/>
          <w:numId w:val="3"/>
        </w:numPr>
        <w:spacing w:after="60" w:before="40"/>
      </w:pPr>
      <w:r>
        <w:rPr>
          <w:rFonts w:ascii="Arial" w:cs="Arial" w:eastAsia="Arial" w:hAnsi="Arial"/>
          <w:color w:val="475569"/>
          <w:sz w:val="22"/>
          <w:szCs w:val="22"/>
        </w:rPr>
        <w:t xml:space="preserve">Implement FHIR R4 Observation and DiagnosticReport resources with interim terminology mapping</w:t>
      </w:r>
    </w:p>
    <w:p>
      <w:pPr>
        <w:pStyle w:val="ListParagraph"/>
        <w:numPr>
          <w:ilvl w:val="0"/>
          <w:numId w:val="3"/>
        </w:numPr>
        <w:spacing w:after="60" w:before="40"/>
      </w:pPr>
      <w:r>
        <w:rPr>
          <w:rFonts w:ascii="Arial" w:cs="Arial" w:eastAsia="Arial" w:hAnsi="Arial"/>
          <w:color w:val="475569"/>
          <w:sz w:val="22"/>
          <w:szCs w:val="22"/>
        </w:rPr>
        <w:t xml:space="preserve">Implement geo-aware BIPA consent flow for Illinois, Texas, and Washington</w:t>
      </w:r>
    </w:p>
    <w:p>
      <w:pPr>
        <w:pStyle w:val="ListParagraph"/>
        <w:numPr>
          <w:ilvl w:val="0"/>
          <w:numId w:val="3"/>
        </w:numPr>
        <w:spacing w:after="60" w:before="40"/>
      </w:pPr>
      <w:r>
        <w:rPr>
          <w:rFonts w:ascii="Arial" w:cs="Arial" w:eastAsia="Arial" w:hAnsi="Arial"/>
          <w:color w:val="475569"/>
          <w:sz w:val="22"/>
          <w:szCs w:val="22"/>
        </w:rPr>
        <w:t xml:space="preserve">Legal review of all API documentation for CPT code language and FDA boundary compliance</w:t>
      </w:r>
    </w:p>
    <w:p>
      <w:pPr>
        <w:pStyle w:val="ListParagraph"/>
        <w:numPr>
          <w:ilvl w:val="0"/>
          <w:numId w:val="3"/>
        </w:numPr>
        <w:spacing w:after="60" w:before="40"/>
      </w:pPr>
      <w:r>
        <w:rPr>
          <w:rFonts w:ascii="Arial" w:cs="Arial" w:eastAsia="Arial" w:hAnsi="Arial"/>
          <w:color w:val="475569"/>
          <w:sz w:val="22"/>
          <w:szCs w:val="22"/>
        </w:rPr>
        <w:t xml:space="preserve">Implement HL7 v2 translation middleware for Crystal PM integration pipeline</w:t>
      </w:r>
    </w:p>
    <w:p>
      <w:pPr>
        <w:spacing w:after="180" w:before="0"/>
      </w:pPr>
      <w:r>
        <w:t xml:space="preserve"/>
      </w:r>
    </w:p>
    <w:p>
      <w:pPr>
        <w:pStyle w:val="Heading2"/>
        <w:spacing w:after="80" w:before="280"/>
      </w:pPr>
      <w:r>
        <w:rPr>
          <w:rFonts w:ascii="Arial" w:cs="Arial" w:eastAsia="Arial" w:hAnsi="Arial"/>
          <w:b/>
          <w:bCs/>
          <w:color w:val="007B97"/>
          <w:sz w:val="24"/>
          <w:szCs w:val="24"/>
        </w:rPr>
        <w:t xml:space="preserve">Long-term (Year 2 roadmap)</w:t>
      </w:r>
    </w:p>
    <w:p>
      <w:pPr>
        <w:pStyle w:val="ListParagraph"/>
        <w:numPr>
          <w:ilvl w:val="0"/>
          <w:numId w:val="3"/>
        </w:numPr>
        <w:spacing w:after="60" w:before="40"/>
      </w:pPr>
      <w:r>
        <w:rPr>
          <w:rFonts w:ascii="Arial" w:cs="Arial" w:eastAsia="Arial" w:hAnsi="Arial"/>
          <w:color w:val="475569"/>
          <w:sz w:val="22"/>
          <w:szCs w:val="22"/>
        </w:rPr>
        <w:t xml:space="preserve">SOC 2 Type II certification completion — enables Epic and athenahealth partner approval</w:t>
      </w:r>
    </w:p>
    <w:p>
      <w:pPr>
        <w:pStyle w:val="ListParagraph"/>
        <w:numPr>
          <w:ilvl w:val="0"/>
          <w:numId w:val="3"/>
        </w:numPr>
        <w:spacing w:after="60" w:before="40"/>
      </w:pPr>
      <w:r>
        <w:rPr>
          <w:rFonts w:ascii="Arial" w:cs="Arial" w:eastAsia="Arial" w:hAnsi="Arial"/>
          <w:color w:val="475569"/>
          <w:sz w:val="22"/>
          <w:szCs w:val="22"/>
        </w:rPr>
        <w:t xml:space="preserve">Begin Epic Connector Builder enrollment — largest hospital ophthalmology market</w:t>
      </w:r>
    </w:p>
    <w:p>
      <w:pPr>
        <w:pStyle w:val="ListParagraph"/>
        <w:numPr>
          <w:ilvl w:val="0"/>
          <w:numId w:val="3"/>
        </w:numPr>
        <w:spacing w:after="60" w:before="40"/>
      </w:pPr>
      <w:r>
        <w:rPr>
          <w:rFonts w:ascii="Arial" w:cs="Arial" w:eastAsia="Arial" w:hAnsi="Arial"/>
          <w:color w:val="475569"/>
          <w:sz w:val="22"/>
          <w:szCs w:val="22"/>
        </w:rPr>
        <w:t xml:space="preserve">Implement GDPR consent layer and EU-resident data segregation for international expansion</w:t>
      </w:r>
    </w:p>
    <w:p>
      <w:pPr>
        <w:pStyle w:val="ListParagraph"/>
        <w:numPr>
          <w:ilvl w:val="0"/>
          <w:numId w:val="3"/>
        </w:numPr>
        <w:spacing w:after="60" w:before="40"/>
      </w:pPr>
      <w:r>
        <w:rPr>
          <w:rFonts w:ascii="Arial" w:cs="Arial" w:eastAsia="Arial" w:hAnsi="Arial"/>
          <w:color w:val="475569"/>
          <w:sz w:val="22"/>
          <w:szCs w:val="22"/>
        </w:rPr>
        <w:t xml:space="preserve">Publish LOINC-coded FHIR implementation guide to enable self-service integrations</w:t>
      </w:r>
    </w:p>
    <w:p>
      <w:pPr>
        <w:pStyle w:val="ListParagraph"/>
        <w:numPr>
          <w:ilvl w:val="0"/>
          <w:numId w:val="3"/>
        </w:numPr>
        <w:spacing w:after="60" w:before="40"/>
      </w:pPr>
      <w:r>
        <w:rPr>
          <w:rFonts w:ascii="Arial" w:cs="Arial" w:eastAsia="Arial" w:hAnsi="Arial"/>
          <w:color w:val="475569"/>
          <w:sz w:val="22"/>
          <w:szCs w:val="22"/>
        </w:rPr>
        <w:t xml:space="preserve">Appoint GDPR Data Protection Officer as EU market is entered</w:t>
      </w:r>
    </w:p>
    <w:p>
      <w:pPr>
        <w:pStyle w:val="ListParagraph"/>
        <w:numPr>
          <w:ilvl w:val="0"/>
          <w:numId w:val="3"/>
        </w:numPr>
        <w:spacing w:after="60" w:before="40"/>
      </w:pPr>
      <w:r>
        <w:rPr>
          <w:rFonts w:ascii="Arial" w:cs="Arial" w:eastAsia="Arial" w:hAnsi="Arial"/>
          <w:color w:val="475569"/>
          <w:sz w:val="22"/>
          <w:szCs w:val="22"/>
        </w:rPr>
        <w:t xml:space="preserve">Achieve EHDS readiness for 2027 EU mandate</w:t>
      </w:r>
    </w:p>
    <w:p>
      <w:pPr>
        <w:spacing w:after="180" w:before="0"/>
      </w:pPr>
      <w:r>
        <w:t xml:space="preserve"/>
      </w:r>
    </w:p>
    <w:p>
      <w:pPr>
        <w:pBdr>
          <w:bottom w:val="single" w:color="E2E8F0" w:sz="2" w:space="4"/>
        </w:pBdr>
        <w:spacing w:after="0" w:before="240"/>
      </w:pPr>
      <w:r>
        <w:t xml:space="preserve"/>
      </w:r>
    </w:p>
    <w:p>
      <w:pPr>
        <w:pStyle w:val="Heading1"/>
        <w:pBdr>
          <w:bottom w:val="single" w:color="007B97" w:sz="6" w:space="4"/>
        </w:pBdr>
        <w:spacing w:after="120" w:before="360"/>
      </w:pPr>
      <w:r>
        <w:rPr>
          <w:rFonts w:ascii="Arial" w:cs="Arial" w:eastAsia="Arial" w:hAnsi="Arial"/>
          <w:b/>
          <w:bCs/>
          <w:color w:val="0B1D2E"/>
          <w:sz w:val="30"/>
          <w:szCs w:val="30"/>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Term</w:t>
            </w:r>
          </w:p>
        </w:tc>
        <w:tc>
          <w:tcPr>
            <w:tcW w:type="dxa" w:w="6560"/>
            <w:tcBorders>
              <w:top w:val="single" w:color="007B97" w:sz="1"/>
              <w:left w:val="single" w:color="007B97" w:sz="1"/>
              <w:bottom w:val="single" w:color="007B97" w:sz="1"/>
              <w:right w:val="single" w:color="007B97" w:sz="1"/>
            </w:tcBorders>
            <w:shd w:fill="0B1D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Definition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BAA (Business Associate Agreement)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HIPAA-mandated contract between a covered entity and a business associate that handles PHI, specifying each party's data protection obligations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BIPA</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Illinois Biometric Information Privacy Act — requires written consent before collecting biometric identifiers including facial measurements; statutory damages $1,000–5,000 per violation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CDS Hooks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Clinical Decision Support Hooks — a FHIR-based standard for triggering real-time clinical decision support alerts within EHR workflows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DICOM</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Digital Imaging and Communications in Medicine — standard for storing and transmitting medical imaging data (OCT, retinal photos, visual fields)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EHI (Electronic Health Information)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All electronic protected health information an actor creates, receives, maintains, or transmits; subject to 21st Century Cures Act information blocking rules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FHIR R4</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Fast Healthcare Interoperability Resources Release 4 — the HL7-published RESTful API standard mandated by ONC for US health data exchange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HL7 v2</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Health Level 7 version 2 — legacy pipe-delimited messaging standard still handling ~85% of real-time intra-hospital data exchange globally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HIPAA</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Health Insurance Portability and Accountability Act — US federal law governing PHI privacy, security, and breach notification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Information Blocking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Any practice by an actor likely to interfere with the access, exchange, or use of EHI; prohibited by 21st Century Cures Act; penalties up to $1M per violation for health IT developers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LOINC</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Logical Observation Identifiers Names and Codes — standardized terminology for clinical observations and measurements, required by USCDI v3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ONC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Office of the National Coordinator for Health Information Technology — HHS agency responsible for EHR certification and interoperability policy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PHI (Protected Health Information)</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Any individually identifiable health information held or transmitted by a covered entity or business associate, subject to HIPAA protections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SaMD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Software as a Medical Device — FDA classification for software that performs medical device functions; subject to 510(k) or De Novo review</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SMART on FHIR</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Substitutable Medical Applications, Reusable Technologies on FHIR — OAuth 2.0 authorization framework for FHIR-based EHR integrations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SNOMED CT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Systematized Nomenclature of Medicine Clinical Terms — standardized clinical terminology for diagnoses and procedures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USCDI v3</w:t>
            </w:r>
          </w:p>
        </w:tc>
        <w:tc>
          <w:tcPr>
            <w:tcW w:type="dxa" w:w="6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475569"/>
                <w:sz w:val="19"/>
                <w:szCs w:val="19"/>
              </w:rPr>
              <w:t xml:space="preserve">United States Core Data for Interoperability version 3 — ONC-mandated minimum dataset that all certified EHRs must expose via FHIR API; effective 2024</w:t>
            </w:r>
          </w:p>
        </w:tc>
      </w:tr>
    </w:tbl>
    <w:p>
      <w:pPr>
        <w:spacing w:after="180" w:before="0"/>
      </w:pPr>
      <w:r>
        <w:t xml:space="preserve"/>
      </w:r>
    </w:p>
    <w:p>
      <w:pPr>
        <w:spacing w:after="0" w:before="480"/>
        <w:jc w:val="center"/>
      </w:pPr>
      <w:r>
        <w:rPr>
          <w:rFonts w:ascii="Arial" w:cs="Arial" w:eastAsia="Arial" w:hAnsi="Arial"/>
          <w:i/>
          <w:iCs/>
          <w:color w:val="475569"/>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360"/>
      </w:tabs>
      <w:spacing w:after="0" w:before="0"/>
    </w:pPr>
    <w:r>
      <w:rPr>
        <w:rFonts w:ascii="Arial" w:cs="Arial" w:eastAsia="Arial" w:hAnsi="Arial"/>
        <w:color w:val="475569"/>
        <w:sz w:val="17"/>
        <w:szCs w:val="17"/>
      </w:rPr>
      <w:t xml:space="preserve">FaceMetrics Internal Reference — Not for Distribution</w:t>
    </w:r>
    <w:r>
      <w:rPr>
        <w:rFonts w:ascii="Arial" w:cs="Arial" w:eastAsia="Arial" w:hAnsi="Arial"/>
        <w:color w:val="475569"/>
        <w:sz w:val="17"/>
        <w:szCs w:val="17"/>
      </w:rPr>
      <w:t xml:space="preserve">	Page </w:t>
    </w:r>
    <w:fldSimple w:instr="PAGE">
      <w:r>
        <w:rPr>
          <w:rFonts w:ascii="Arial" w:cs="Arial" w:eastAsia="Arial" w:hAnsi="Arial"/>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97" w:sz="4" w:space="4"/>
      </w:pBdr>
      <w:tabs>
        <w:tab w:val="right" w:pos="9360"/>
      </w:tabs>
      <w:spacing w:after="0" w:before="0"/>
    </w:pPr>
    <w:r>
      <w:rPr>
        <w:rFonts w:ascii="Arial" w:cs="Arial" w:eastAsia="Arial" w:hAnsi="Arial"/>
        <w:b/>
        <w:bCs/>
        <w:color w:val="007B97"/>
        <w:sz w:val="18"/>
        <w:szCs w:val="18"/>
      </w:rPr>
      <w:t xml:space="preserve">FaceMetrics  —  </w:t>
    </w:r>
    <w:r>
      <w:rPr>
        <w:rFonts w:ascii="Arial" w:cs="Arial" w:eastAsia="Arial" w:hAnsi="Arial"/>
        <w:color w:val="475569"/>
        <w:sz w:val="18"/>
        <w:szCs w:val="18"/>
      </w:rPr>
      <w:t xml:space="preserve">Optical EHR API Integration Standards</w:t>
    </w:r>
    <w:r>
      <w:rPr>
        <w:rFonts w:ascii="Arial" w:cs="Arial" w:eastAsia="Arial" w:hAnsi="Arial"/>
        <w:color w:val="475569"/>
        <w:sz w:val="18"/>
        <w:szCs w:val="18"/>
      </w:rPr>
      <w:t xml:space="preserve">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2E"/>
      <w:sz w:val="30"/>
      <w:szCs w:val="30"/>
    </w:rPr>
  </w:style>
  <w:style w:type="paragraph" w:styleId="Heading2">
    <w:name w:val="Heading 2"/>
    <w:basedOn w:val="Normal"/>
    <w:next w:val="Normal"/>
    <w:qFormat/>
    <w:pPr>
      <w:spacing w:after="80" w:before="280"/>
      <w:outlineLvl w:val="1"/>
    </w:pPr>
    <w:rPr>
      <w:rFonts w:ascii="Arial" w:cs="Arial" w:eastAsia="Arial" w:hAnsi="Arial"/>
      <w:b/>
      <w:bCs/>
      <w:color w:val="007B9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0B1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2026-06-17T04:35:10.912Z</dcterms:created>
  <dcterms:modified xsi:type="dcterms:W3CDTF">2026-06-17T04:35:10.924Z</dcterms:modified>
</cp:coreProperties>
</file>

<file path=docProps/custom.xml><?xml version="1.0" encoding="utf-8"?>
<Properties xmlns="http://schemas.openxmlformats.org/officeDocument/2006/custom-properties" xmlns:vt="http://schemas.openxmlformats.org/officeDocument/2006/docPropsVTypes"/>
</file>