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color w:val="0B1D2E"/>
          <w:sz w:val="68"/>
          <w:szCs w:val="68"/>
        </w:rPr>
        <w:t xml:space="preserve">FaceMetrics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07B97"/>
          <w:sz w:val="30"/>
          <w:szCs w:val="30"/>
        </w:rPr>
        <w:t xml:space="preserve">Series A Investment Proposal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MVP to Global Production — Development Plan &amp; Capital Requirements</w:t>
      </w:r>
    </w:p>
    <w:p>
      <w:pPr>
        <w:spacing w:after="20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007B97"/>
          <w:sz w:val="24"/>
          <w:szCs w:val="24"/>
        </w:rPr>
        <w:t xml:space="preserve">The measurement layer for online eyewear</w:t>
      </w:r>
    </w:p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Series A Business Proposal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Round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Series 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Raise Target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$8.5M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Use of Funds — Product &amp; Eng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$3,452,565 (12-month build)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Global web + API · Top-3 EHR integration · B2B + B2C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Amazon Web Services (multi-region)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Confidential — For Investor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FaceMetrics is raising a $8.5M Series A to move its validated MVP to global production. The platform uses computer vision to capture optician-grade facial measurements — pupillary distance, bridge width, lens height, face width, and temple length — from any device camera, using a credit card, ruler, or passport as a calibration reference. It serves both B2C consumers and B2B partners through a documented API and white-label widget.</w:t>
      </w:r>
    </w:p>
    <w:p>
      <w:pPr>
        <w:spacing w:after="1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proposal details the engineering plan and capital required to deliver a worldwide, production-grade platform over 12 months: a globally available web application, a full API with SDKs, integration with the three leading optical EHR systems, and the security and compliance foundation (SOC 2 Type II, HIPAA, GDPR, BIPA) required to operate in the clinical market. All infrastructure is built on Amazon Web Services across US, EU, and APAC regions.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B97" w:sz="1"/>
              <w:left w:val="single" w:color="007B97" w:sz="16"/>
              <w:bottom w:val="single" w:color="007B97" w:sz="1"/>
              <w:right w:val="single" w:color="007B97" w:sz="1"/>
            </w:tcBorders>
            <w:shd w:fill="E0F7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B97"/>
                <w:sz w:val="21"/>
                <w:szCs w:val="21"/>
              </w:rPr>
              <w:t xml:space="preserve">HEADLINE:  </w:t>
            </w:r>
            <w:r>
              <w:rPr>
                <w:rFonts w:ascii="Arial" w:cs="Arial" w:eastAsia="Arial" w:hAnsi="Arial"/>
                <w:color w:val="0B1D2E"/>
                <w:sz w:val="21"/>
                <w:szCs w:val="21"/>
              </w:rPr>
              <w:t xml:space="preserve">Total product and engineering investment to reach global production: $3,452,565 over 12 months, comprising 17,520 engineering hours, $430,000 in one-time compliance and legal costs, $171,960 in first-year AWS infrastructure, and a 15% contingency.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$8.5M raise covers this $3,452,565 build plus go-to-market, initial team scaling, and 18 months of operating runway to reach the revenue inflection point where the API session volume and analytics tiers become self-sustaining.</w:t>
      </w:r>
    </w:p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2. The Opportunity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Online eyewear is a large, fast-growing, and structurally underserved market. The core barrier to online prescription eyewear — the inability to capture accurate facial measurements remotely — is precisely what FaceMetrics solves.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Market Metric</w:t>
            </w:r>
          </w:p>
        </w:tc>
        <w:tc>
          <w:tcPr>
            <w:tcW w:type="dxa" w:w="18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39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Relevance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Global eyewear market (TAM)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$147B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Total addressable category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Online &amp; DTC eyewear (SAM)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$38B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Directly served segment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API + widget platform revenue (SOM, 5yr)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$2.4B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FaceMetrics obtainable share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Online eyewear return 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30–40%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Primary pain FaceMetrics reduces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People needing corrective lenses worldwide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1B+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Global B2C reach potential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Annual online eyewear growth rate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~27%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Category tailwind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measurement problem has no dominant neutral solution. Existing tools are single-purpose (PD only), poorly documented, or locked inside vertically integrated retailers. A neutral, accurate, API-first measurement layer is the natural infrastructure outcome — and first-mover advantage compounds through integration switching costs and a proprietary outcome-data flywheel.</w:t>
      </w:r>
    </w:p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3. Scope: MVP to Global Production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current MVP validates the core measurement approach. This investment funds the transition to a production platform available worldwide, across eight coordinated workstreams.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67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Core CV &amp; Measurement Engine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Multi-angle capture, asymmetry detection, confidence scoring, low-end device optimization, clinical accuracy validation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Web Application (B2C + B2B)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Production web app, offline PWA, white-label widget SDK, consumer face-profile accounts, 10-language localization, assessment builder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Platform &amp; SDKs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Production REST API, OAuth/SMART on FHIR auth, webhooks, JS/iOS/Android SDKs, developer portal and sandbox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EHR Integrations (Top 3)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FHIR R4 server, RevolutionEHR, Eyefinity, and Epic integrations, HL7 v2 middleware, terminology mapping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AWS Infrastructure &amp; DevOps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Multi-region architecture (US/EU/APAC), CI/CD, auto-scaling, observability, disaster recovery, data residency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 2 Type II, HIPAA safeguards, BIPA/GDPR consent, penetration testing, encryption and key management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QA, Testing &amp; Launch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Automated test suites, cross-device QA, accuracy regression, load testing, technical documentation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Program Management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management and technical program coordination across all workstreams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4. Development Hours &amp; Cost Breakdown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breakdown details every workstream, the roles involved, hours, and fully-loaded cost. Rates reflect blended senior health-technology engineering rates inclusive of overhead. Total engineering effort is 17,520 hours across a 12-month delivery window.</w:t>
      </w:r>
    </w:p>
    <w:p>
      <w:pPr>
        <w:spacing w:after="1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B1D2E"/>
          <w:sz w:val="22"/>
          <w:szCs w:val="22"/>
        </w:rPr>
        <w:t xml:space="preserve">4.1 Blended Loaded 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2400"/>
        <w:gridCol w:w="2880"/>
      </w:tblGrid>
      <w:tr>
        <w:trPr>
          <w:tblHeader/>
        </w:trPr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(USD/hr)</w:t>
            </w:r>
          </w:p>
        </w:tc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(USD/hr)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Principal Engineer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$165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Engineer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$175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ML/CV Engineer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$155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Compliance Lead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$195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Senior Engineer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$140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DevOps Engineer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$145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Mid Engineer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Product/Program Mgr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$130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Designer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$115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$95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Technical Writer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$85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B1D2E"/>
          <w:sz w:val="22"/>
          <w:szCs w:val="22"/>
        </w:rPr>
        <w:t xml:space="preserve">4.2 Detailed Workstream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Core CV &amp; Measurement Engine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2,080 hrs · $322,400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Multi-angle capture pipeline (temple length 3D)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$74,400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Asymmetry detection engine + calibration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$55,800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Confidence scoring &amp; IQR outlier system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$37,200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Passport + ruler + card calibration hardening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$49,600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Model optimization for low-end devices (WASM/WebGL)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$62,000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Accuracy validation harness + clinical benchmarking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ML/CV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$43,400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Web Application (B2C + B2B)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3,100 hrs · $390,200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Production React web app rebuild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520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$72,800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Progressive Web App + offline mode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$50,400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White-label widget SDK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$61,600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Consumer face-profile account system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Mid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$50,400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Multilingual/i18n (10 languages) + a11y WCAG 2.1 AA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Mid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$42,000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Assessment builder (no-code)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$53,200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Frontend design system + UX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Product Designer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520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$59,800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API Platform &amp; SDKs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2,380 hrs · $319,900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REST API v1 productionization + OpenAPI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Principal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$69,300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OAuth 2.0 + SMART on FHIR authorization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$50,400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Webhook system + event streaming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$39,200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JS/TS, React, iOS, Android SDKs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640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$89,600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Rate limiting, quota, billing metering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Mid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$33,600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Developer portal + sandbox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Mid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$37,800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EHR Integrations (Top 3)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2,400 hrs · $353,600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FHIR R4 server (HAPI) + USCDI v3 mapping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Principal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$79,200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RevolutionEHR integration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$50,400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Eyefinity integration + partner cert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$58,800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Epic integration + Connector Builder cert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Principal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560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$92,400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HL7 v2 translation middleware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Senior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$47,600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LOINC/SNOMED terminology mapping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Mid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$25,200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AWS Infrastructure &amp; DevOps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1,880 hrs · $272,600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Multi-region architecture (US/EU/APAC)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$69,600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CI/CD pipelines + IaC (Terraform)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$52,200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Auto-scaling, load balancing, CDN (CloudFront)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$46,400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Observability (CloudWatch, X-Ray, alerting)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$40,600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Disaster recovery + backup + failover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$34,800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Data residency segregation (EU/US)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DevOps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$29,000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Security &amp; Compliance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1,960 hrs · $355,400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SOC 2 Type II readiness + controls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Security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$84,000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HIPAA technical safeguards implementation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Security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$63,000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BIPA/GDPR consent architecture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Compliance Lead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$62,400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Penetration testing + remediation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Security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$49,000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Encryption (TLS 1.3, at-rest), key management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Security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220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$38,500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Compliance documentation + audit prep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Compliance Lead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$58,500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QA, Testing &amp; Launch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2,040 hrs · $190,200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Automated test suite (unit/integration/e2e)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560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$53,200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Cross-device/browser QA matrix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$38,000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Accuracy regression testing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$26,600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Load &amp; performance testing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240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$22,800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Security &amp; compliance QA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QA Engineer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200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$19,000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Technical documentation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Technical Writer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360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$30,600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B1D2E"/>
          <w:sz w:val="21"/>
          <w:szCs w:val="21"/>
        </w:rPr>
        <w:t xml:space="preserve">Program Management  </w:t>
      </w:r>
      <w:r>
        <w:rPr>
          <w:rFonts w:ascii="Arial" w:cs="Arial" w:eastAsia="Arial" w:hAnsi="Arial"/>
          <w:color w:val="007B97"/>
          <w:sz w:val="20"/>
          <w:szCs w:val="20"/>
        </w:rPr>
        <w:t xml:space="preserve">— 1,680 hrs · $218,400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900"/>
        <w:gridCol w:w="12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19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07B9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Product management (12 months)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Product/Program Mgr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1,200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$156,000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Technical program coordination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Product/Program Mgr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480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$62,400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B1D2E"/>
          <w:sz w:val="22"/>
          <w:szCs w:val="22"/>
        </w:rPr>
        <w:t xml:space="preserve">4.3 Labor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18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Core CV &amp; Measurement Engine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2,080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$322,400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Web Application (B2C + B2B)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3,100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$390,200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API Platform &amp; SDKs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2,380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$319,900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EHR Integrations (Top 3)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2,400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$353,600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AWS Infrastructure &amp; DevOps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1,880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$272,600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Security &amp; Compliance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1,960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$355,400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QA, Testing &amp; Launch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2,040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$190,200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Program Management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1,680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$218,400</w:t>
            </w:r>
          </w:p>
        </w:tc>
      </w:tr>
      <w:tr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TOTAL LABOR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17,520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$2,422,700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5. AWS Infrastructure Costs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FaceMetrics runs entirely on Amazon Web Services with a multi-region architecture spanning US, EU (Frankfurt), and APAC regions to meet data residency requirements and deliver low-latency worldwide access. The figures below reflect steady-state production scale; early-stage costs will be lower and scale with session volume.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Compute (ECS/Fargate, Lambda)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$4,200/mo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$50,400/yr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FHIR data store + RDS (multi-AZ)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$2,800/mo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$33,600/yr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CloudFront CDN + data transfer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$1,900/mo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$22,800/yr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S3 storage + backup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$650/mo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$7,800/yr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ML inference (fallback, SageMaker)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$1,400/mo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$16,800/yr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Cognito / auth infra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$480/mo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$5,760/yr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Monitoring (CloudWatch, X-Ray)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$520/mo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$6,240/yr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WAF + security services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$780/mo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$9,360/yr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Multi-region replication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$1,600/mo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$19,200/yr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TOTAL AWS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$14,330/mo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$171,960/yr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Architecture note: FaceMetrics performs computer-vision processing client-side in the browser, so server-side compute scales with API calls and FHIR data operations rather than video processing — keeping infrastructure costs materially lower than a server-side vision pipeline would require. AWS activate credits (up to $100K for eligible startups) can offset a significant portion of year-one infrastructure cost.</w:t>
      </w:r>
    </w:p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6. One-Time Compliance &amp; Legal Costs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Operating in the clinical and biometric-data space requires substantial one-time investments in compliance, legal, and clinical validation. These are non-negotiable prerequisites for EHR integration and international operation — and each also functions as a competitive moat that later entrants must replicate.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SOC 2 Type II audit (external firm)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$65,000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Penetration testing (external)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$35,000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Legal - HIPAA/BIPA/GDPR counsel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$85,000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Legal - EHR partner agreements + 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$60,000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Clinical validation study (500 patients)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$120,000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LOINC code assignment + terminology consult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$25,000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FDA regulatory counsel (SaMD boundary)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$40,000</w:t>
            </w:r>
          </w:p>
        </w:tc>
      </w:tr>
      <w:tr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TOTAL ONE-TIME COSTS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$430,000</w:t>
            </w:r>
          </w:p>
        </w:tc>
      </w:tr>
    </w:tbl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6"/>
              <w:bottom w:val="single" w:color="B45309" w:sz="1"/>
              <w:right w:val="single" w:color="B45309" w:sz="1"/>
            </w:tcBorders>
            <w:shd w:fill="FEF6E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STRATEGIC:  </w:t>
            </w:r>
            <w:r>
              <w:rPr>
                <w:rFonts w:ascii="Arial" w:cs="Arial" w:eastAsia="Arial" w:hAnsi="Arial"/>
                <w:color w:val="0B1D2E"/>
                <w:sz w:val="21"/>
                <w:szCs w:val="21"/>
              </w:rPr>
              <w:t xml:space="preserve">These compliance investments are a moat, not just a cost. Once FaceMetrics holds SOC 2 Type II, HIPAA attestation, and peer-reviewed clinical validation, competitors cannot enter clinical accounts without replicating 12–18 months of the same work.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7. Total Project Cost — MVP to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Build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Engineering labor (17,520 hrs)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$2,422,700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70%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One-time compliance &amp; legal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$430,000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AWS infrastructure (year 1)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$171,960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Contingency (15%)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$427,905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9"/>
                <w:szCs w:val="19"/>
              </w:rPr>
              <w:t xml:space="preserve">TOTAL PROJECT COST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9"/>
                <w:szCs w:val="19"/>
              </w:rPr>
              <w:t xml:space="preserve">$3,452,565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8. 12-Month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60"/>
        <w:gridCol w:w="2000"/>
      </w:tblGrid>
      <w:tr>
        <w:trPr>
          <w:tblHeader/>
        </w:trPr>
        <w:tc>
          <w:tcPr>
            <w:tcW w:type="dxa" w:w="15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58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Milestones</w:t>
            </w:r>
          </w:p>
        </w:tc>
        <w:tc>
          <w:tcPr>
            <w:tcW w:type="dxa" w:w="20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 Spend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Q1 (Mo 1–3)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CV engine hardening, FHIR server, AWS foundation, SOC 2 kickoff, RevolutionEHR integration begins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~25%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Q2 (Mo 4–6)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Production web app + PWA, API v1 + SDKs, RevolutionEHR live, clinical validation study runs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~50%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Q3 (Mo 7–9)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Widget SDK, Eyefinity integration + partner cert, multilingual, penetration testing, BIPA/GDPR consent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~75%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Q4 (Mo 10–12)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Epic Connector Builder cert, SOC 2 Type II achieved, global multi-region launch, GA release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EHR integrations are deliberately sequenced by complexity: RevolutionEHR (open developer program, fastest) in Q1–Q2, Eyefinity (partner-approval gated) in Q3, and Epic (Connector Builder certification, longest cycle) in Q4. This ensures at least one production EHR integration is live by mid-year, de-risking the clinical go-to-market.</w:t>
      </w:r>
    </w:p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9. Use of Funds — $8.5M Series A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$3,452,565 development build sits within a broader $8.5M raise that funds the company through the revenue inflection point. Allocation: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7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Allocation</w:t>
            </w:r>
          </w:p>
        </w:tc>
        <w:tc>
          <w:tcPr>
            <w:tcW w:type="dxa" w:w="176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3800"/>
            <w:tcBorders>
              <w:top w:val="single" w:color="007B97" w:sz="1"/>
              <w:left w:val="single" w:color="007B97" w:sz="1"/>
              <w:bottom w:val="single" w:color="007B97" w:sz="1"/>
              <w:right w:val="single" w:color="007B97" w:sz="1"/>
            </w:tcBorders>
            <w:shd w:fill="0B1D2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Product &amp; Engineering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41%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$3,452,565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MVP to global production (this proposal)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Go-to-Market &amp; Sales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22%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$1,870,000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DevRel, partnerships, brand deals, EHR channel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Team Scaling &amp; G&amp;A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18%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$1,530,000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Key hires, finance, operations, legal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Working Capital &amp; Runway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14%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$1,190,000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18-month operating buffer to revenue inflection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Reserve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5%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$457,435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>Strategic opportunity / additional contingency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TOTAL RAISE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100%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0B1D2E"/>
                <w:sz w:val="18"/>
                <w:szCs w:val="18"/>
              </w:rPr>
              <w:t xml:space="preserve">$8,500,000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8"/>
                <w:szCs w:val="18"/>
              </w:rPr>
              <w:t xml:space="preserve"/>
            </w:r>
          </w:p>
        </w:tc>
      </w:tr>
    </w:tbl>
    <w:p>
      <w:pPr>
        <w:spacing w:after="180" w:before="0"/>
      </w:pPr>
      <w:r>
        <w:t xml:space="preserve"/>
      </w:r>
    </w:p>
    <w:p>
      <w:pPr>
        <w:pStyle w:val="Heading1"/>
        <w:pBdr>
          <w:bottom w:val="single" w:color="007B97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B1D2E"/>
          <w:sz w:val="30"/>
          <w:szCs w:val="30"/>
        </w:rPr>
        <w:t xml:space="preserve">10. Investment Rationale &amp; Milestones</w:t>
      </w:r>
    </w:p>
    <w:p>
      <w:pPr>
        <w:spacing w:after="10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Series A takes FaceMetrics from a validated MVP to a defensible, revenue-generating global platform. The capital funds four value-creating milestones that de-risk the business and set up a strong Series B or strategic exit:</w:t>
      </w:r>
    </w:p>
    <w:p>
      <w:pPr>
        <w:spacing w:after="1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Production platform live worldwide — web, API, and SDKs available across US, EU, and APAC by month 12.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Three EHR integrations in production — RevolutionEHR, Eyefinity, and Epic, covering the majority of the US optometry and hospital ophthalmology market.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 compliance moat established — SOC 2 Type II, HIPAA, GDPR, BIPA, and peer-reviewed clinical validation, unlocking the clinical and telehealth markets competitors cannot easily enter.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Revenue inflection reached — API session volume plus analytics tiers cross the threshold to self-sustaining growth, positioning for a Series B at a materially higher valuation.</w:t>
      </w:r>
    </w:p>
    <w:p>
      <w:pPr>
        <w:spacing w:after="1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7B97" w:sz="1"/>
              <w:left w:val="single" w:color="007B97" w:sz="16"/>
              <w:bottom w:val="single" w:color="007B97" w:sz="1"/>
              <w:right w:val="single" w:color="007B97" w:sz="1"/>
            </w:tcBorders>
            <w:shd w:fill="E0F7FC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7B97"/>
                <w:sz w:val="21"/>
                <w:szCs w:val="21"/>
              </w:rPr>
              <w:t xml:space="preserve">THE MOAT:  </w:t>
            </w:r>
            <w:r>
              <w:rPr>
                <w:rFonts w:ascii="Arial" w:cs="Arial" w:eastAsia="Arial" w:hAnsi="Arial"/>
                <w:color w:val="0B1D2E"/>
                <w:sz w:val="21"/>
                <w:szCs w:val="21"/>
              </w:rPr>
              <w:t xml:space="preserve">The compliance and data-flywheel investments funded here are the durable moat: by the time a competitor is organized, FaceMetrics holds the integrations, the certifications, and a proprietary dataset of measurement outcomes that cannot be replicated quickly.</w:t>
            </w:r>
          </w:p>
        </w:tc>
      </w:tr>
    </w:tbl>
    <w:p>
      <w:pPr>
        <w:spacing w:after="180" w:before="0"/>
      </w:pPr>
      <w:r>
        <w:t xml:space="preserve"/>
      </w:r>
    </w:p>
    <w:p>
      <w:pPr>
        <w:pBdr>
          <w:top w:val="single" w:color="E2E8F0" w:sz="2" w:space="6"/>
        </w:pBdr>
        <w:spacing w:after="80" w:before="200"/>
      </w:pPr>
      <w:r>
        <w:rPr>
          <w:rFonts w:ascii="Arial" w:cs="Arial" w:eastAsia="Arial" w:hAnsi="Arial"/>
          <w:b/>
          <w:bCs/>
          <w:color w:val="475569"/>
          <w:sz w:val="18"/>
          <w:szCs w:val="18"/>
        </w:rPr>
        <w:t xml:space="preserve">Disclaimer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75569"/>
          <w:sz w:val="17"/>
          <w:szCs w:val="17"/>
        </w:rPr>
        <w:t xml:space="preserve">This document contains forward-looking projections and estimates prepared for investor evaluation. Development hours, costs, and timelines are good-faith estimates based on current scope and prevailing market rates, and are subject to change as scope and market conditions evolve. It does not constitute an offer to sell securities.</w:t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—  End of Proposal 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color w:val="475569"/>
        <w:sz w:val="17"/>
        <w:szCs w:val="17"/>
      </w:rPr>
      <w:t xml:space="preserve">Confidential — For Investor Review Only</w:t>
    </w:r>
    <w:r>
      <w:rPr>
        <w:rFonts w:ascii="Arial" w:cs="Arial" w:eastAsia="Arial" w:hAnsi="Arial"/>
        <w:color w:val="475569"/>
        <w:sz w:val="17"/>
        <w:szCs w:val="17"/>
      </w:rPr>
      <w:t xml:space="preserve">	Page </w:t>
    </w:r>
    <w:fldSimple w:instr="PAGE">
      <w:r>
        <w:rPr>
          <w:rFonts w:ascii="Arial" w:cs="Arial" w:eastAsia="Arial" w:hAnsi="Arial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B97" w:sz="4" w:space="4"/>
      </w:pBdr>
      <w:tabs>
        <w:tab w:val="right" w:pos="9360"/>
      </w:tabs>
      <w:spacing w:after="0" w:before="0"/>
    </w:pPr>
    <w:r>
      <w:rPr>
        <w:rFonts w:ascii="Arial" w:cs="Arial" w:eastAsia="Arial" w:hAnsi="Arial"/>
        <w:b/>
        <w:bCs/>
        <w:color w:val="007B97"/>
        <w:sz w:val="18"/>
        <w:szCs w:val="18"/>
      </w:rPr>
      <w:t xml:space="preserve">FaceMetrics  —  </w:t>
    </w:r>
    <w:r>
      <w:rPr>
        <w:rFonts w:ascii="Arial" w:cs="Arial" w:eastAsia="Arial" w:hAnsi="Arial"/>
        <w:color w:val="475569"/>
        <w:sz w:val="18"/>
        <w:szCs w:val="18"/>
      </w:rPr>
      <w:t xml:space="preserve">Series A Investment Proposal</w:t>
    </w:r>
    <w:r>
      <w:rPr>
        <w:rFonts w:ascii="Arial" w:cs="Arial" w:eastAsia="Arial" w:hAnsi="Arial"/>
        <w:color w:val="475569"/>
        <w:sz w:val="18"/>
        <w:szCs w:val="18"/>
      </w:rPr>
      <w:t xml:space="preserve">	Confidential ·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B1D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7B9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B1D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2026-07-01T13:15:58.943Z</dcterms:created>
  <dcterms:modified xsi:type="dcterms:W3CDTF">2026-07-01T13:15:58.944Z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