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10BE6" w14:textId="77777777" w:rsidR="001B2642" w:rsidRPr="001B2642" w:rsidRDefault="001B2642" w:rsidP="001B2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2642">
        <w:rPr>
          <w:rFonts w:ascii="Times New Roman" w:eastAsia="Times New Roman" w:hAnsi="Times New Roman" w:cs="Times New Roman"/>
          <w:b/>
          <w:bCs/>
          <w:kern w:val="0"/>
          <w:sz w:val="36"/>
          <w:szCs w:val="36"/>
          <w14:ligatures w14:val="none"/>
        </w:rPr>
        <w:t>What Is Facial Asymmetry?</w:t>
      </w:r>
    </w:p>
    <w:p w14:paraId="3A6214D4"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Nearly every human face has some degree of asymmetry. The nose sits slightly off-center, one eye sits marginally higher or wider than the other, and the jaw may deviate slightly. Studies suggest only about 1 in 1,000 faces is truly symmetrical. The degree ranges from subtle (imperceptible) to clinically significant (hemifacial microsomia, post-stroke facial droop, orbital asymmetry).</w:t>
      </w:r>
    </w:p>
    <w:p w14:paraId="5FC5CB2D" w14:textId="77777777" w:rsidR="001B2642" w:rsidRPr="001B2642" w:rsidRDefault="007350E8" w:rsidP="001B2642">
      <w:pPr>
        <w:spacing w:after="0" w:line="240" w:lineRule="auto"/>
        <w:rPr>
          <w:rFonts w:ascii="Times New Roman" w:eastAsia="Times New Roman" w:hAnsi="Times New Roman" w:cs="Times New Roman"/>
          <w:kern w:val="0"/>
          <w14:ligatures w14:val="none"/>
        </w:rPr>
      </w:pPr>
      <w:r w:rsidRPr="007350E8">
        <w:rPr>
          <w:rFonts w:ascii="Times New Roman" w:eastAsia="Times New Roman" w:hAnsi="Times New Roman" w:cs="Times New Roman"/>
          <w:noProof/>
          <w:kern w:val="0"/>
        </w:rPr>
        <w:pict w14:anchorId="3E04E0C5">
          <v:rect id="_x0000_i1028" alt="" style="width:468pt;height:.05pt;mso-width-percent:0;mso-height-percent:0;mso-width-percent:0;mso-height-percent:0" o:hralign="center" o:hrstd="t" o:hr="t" fillcolor="#a0a0a0" stroked="f"/>
        </w:pict>
      </w:r>
    </w:p>
    <w:p w14:paraId="42107190" w14:textId="77777777" w:rsidR="001B2642" w:rsidRPr="001B2642" w:rsidRDefault="001B2642" w:rsidP="001B2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2642">
        <w:rPr>
          <w:rFonts w:ascii="Times New Roman" w:eastAsia="Times New Roman" w:hAnsi="Times New Roman" w:cs="Times New Roman"/>
          <w:b/>
          <w:bCs/>
          <w:kern w:val="0"/>
          <w:sz w:val="36"/>
          <w:szCs w:val="36"/>
          <w14:ligatures w14:val="none"/>
        </w:rPr>
        <w:t>How It Affects PD Measurement</w:t>
      </w:r>
    </w:p>
    <w:p w14:paraId="0BE17097"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b/>
          <w:bCs/>
          <w:kern w:val="0"/>
          <w14:ligatures w14:val="none"/>
        </w:rPr>
        <w:t>Monocular PD is the real issue.</w:t>
      </w:r>
      <w:r w:rsidRPr="001B2642">
        <w:rPr>
          <w:rFonts w:ascii="Times New Roman" w:eastAsia="Times New Roman" w:hAnsi="Times New Roman" w:cs="Times New Roman"/>
          <w:kern w:val="0"/>
          <w14:ligatures w14:val="none"/>
        </w:rPr>
        <w:t xml:space="preserve"> Total PD (pupil-to-pupil) is measured directly and is largely unaffected by asymmetry — the algorithm simply measures the straight-line distance between the two pupil centers. The problem emerges when you need </w:t>
      </w:r>
      <w:r w:rsidRPr="001B2642">
        <w:rPr>
          <w:rFonts w:ascii="Times New Roman" w:eastAsia="Times New Roman" w:hAnsi="Times New Roman" w:cs="Times New Roman"/>
          <w:b/>
          <w:bCs/>
          <w:kern w:val="0"/>
          <w14:ligatures w14:val="none"/>
        </w:rPr>
        <w:t>monocular PD</w:t>
      </w:r>
      <w:r w:rsidRPr="001B2642">
        <w:rPr>
          <w:rFonts w:ascii="Times New Roman" w:eastAsia="Times New Roman" w:hAnsi="Times New Roman" w:cs="Times New Roman"/>
          <w:kern w:val="0"/>
          <w14:ligatures w14:val="none"/>
        </w:rPr>
        <w:t xml:space="preserve"> — the distance from the center of each pupil to the center of the nose bridge — because the nose bridge center is not a fixed anatomical point. It's inferred.</w:t>
      </w:r>
    </w:p>
    <w:p w14:paraId="62A90B13" w14:textId="77777777" w:rsidR="001B2642" w:rsidRPr="001B2642" w:rsidRDefault="001B2642" w:rsidP="001B2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2642">
        <w:rPr>
          <w:rFonts w:ascii="Times New Roman" w:eastAsia="Times New Roman" w:hAnsi="Times New Roman" w:cs="Times New Roman"/>
          <w:b/>
          <w:bCs/>
          <w:kern w:val="0"/>
          <w:sz w:val="27"/>
          <w:szCs w:val="27"/>
          <w14:ligatures w14:val="none"/>
        </w:rPr>
        <w:t>1. Nose Bridge Reference Error</w:t>
      </w:r>
    </w:p>
    <w:p w14:paraId="0A1AB6EA"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The app estimates the bridge center from the midpoint between the two inner eye corners (medial canthi). On an asymmetrical face, the nose bridge may be shifted left or right of that midpoint. This means:</w:t>
      </w:r>
    </w:p>
    <w:p w14:paraId="3DE7EEC6" w14:textId="77777777" w:rsidR="001B2642" w:rsidRPr="001B2642" w:rsidRDefault="001B2642" w:rsidP="001B2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 xml:space="preserve">Left monocular PD gets </w:t>
      </w:r>
      <w:r w:rsidRPr="001B2642">
        <w:rPr>
          <w:rFonts w:ascii="Times New Roman" w:eastAsia="Times New Roman" w:hAnsi="Times New Roman" w:cs="Times New Roman"/>
          <w:b/>
          <w:bCs/>
          <w:kern w:val="0"/>
          <w14:ligatures w14:val="none"/>
        </w:rPr>
        <w:t>overstated</w:t>
      </w:r>
    </w:p>
    <w:p w14:paraId="05BFEB83" w14:textId="77777777" w:rsidR="001B2642" w:rsidRPr="001B2642" w:rsidRDefault="001B2642" w:rsidP="001B2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 xml:space="preserve">Right monocular PD gets </w:t>
      </w:r>
      <w:r w:rsidRPr="001B2642">
        <w:rPr>
          <w:rFonts w:ascii="Times New Roman" w:eastAsia="Times New Roman" w:hAnsi="Times New Roman" w:cs="Times New Roman"/>
          <w:b/>
          <w:bCs/>
          <w:kern w:val="0"/>
          <w14:ligatures w14:val="none"/>
        </w:rPr>
        <w:t>understated</w:t>
      </w:r>
    </w:p>
    <w:p w14:paraId="2EBAC24E" w14:textId="77777777" w:rsidR="001B2642" w:rsidRPr="001B2642" w:rsidRDefault="001B2642" w:rsidP="001B2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Total PD remains correct</w:t>
      </w:r>
    </w:p>
    <w:p w14:paraId="4DBCE946" w14:textId="77777777" w:rsidR="001B2642" w:rsidRPr="001B2642" w:rsidRDefault="001B2642" w:rsidP="001B2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But the optical centers of the lenses are placed incorrectly</w:t>
      </w:r>
    </w:p>
    <w:p w14:paraId="634E1272" w14:textId="77777777" w:rsidR="001B2642" w:rsidRPr="001B2642" w:rsidRDefault="001B2642" w:rsidP="001B2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2642">
        <w:rPr>
          <w:rFonts w:ascii="Times New Roman" w:eastAsia="Times New Roman" w:hAnsi="Times New Roman" w:cs="Times New Roman"/>
          <w:b/>
          <w:bCs/>
          <w:kern w:val="0"/>
          <w:sz w:val="27"/>
          <w:szCs w:val="27"/>
          <w14:ligatures w14:val="none"/>
        </w:rPr>
        <w:t>2. Eye Height Difference (Vertical Asymmetry)</w:t>
      </w:r>
    </w:p>
    <w:p w14:paraId="45268E75"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 xml:space="preserve">If one eye sits higher than the other (a very common asymmetry), the app measures the two pupil centers at different Y coordinates. For total horizontal PD this barely matters, but it signals that the face needs </w:t>
      </w:r>
      <w:r w:rsidRPr="001B2642">
        <w:rPr>
          <w:rFonts w:ascii="Times New Roman" w:eastAsia="Times New Roman" w:hAnsi="Times New Roman" w:cs="Times New Roman"/>
          <w:b/>
          <w:bCs/>
          <w:kern w:val="0"/>
          <w14:ligatures w14:val="none"/>
        </w:rPr>
        <w:t>different lens heights</w:t>
      </w:r>
      <w:r w:rsidRPr="001B2642">
        <w:rPr>
          <w:rFonts w:ascii="Times New Roman" w:eastAsia="Times New Roman" w:hAnsi="Times New Roman" w:cs="Times New Roman"/>
          <w:kern w:val="0"/>
          <w14:ligatures w14:val="none"/>
        </w:rPr>
        <w:t xml:space="preserve"> — something a standard PD measurement alone won't capture. MediaPipe's iris landmarks will detect this correctly, but the app needs to surface it.</w:t>
      </w:r>
    </w:p>
    <w:p w14:paraId="7333FFAF" w14:textId="77777777" w:rsidR="001B2642" w:rsidRPr="001B2642" w:rsidRDefault="001B2642" w:rsidP="001B2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2642">
        <w:rPr>
          <w:rFonts w:ascii="Times New Roman" w:eastAsia="Times New Roman" w:hAnsi="Times New Roman" w:cs="Times New Roman"/>
          <w:b/>
          <w:bCs/>
          <w:kern w:val="0"/>
          <w:sz w:val="27"/>
          <w:szCs w:val="27"/>
          <w14:ligatures w14:val="none"/>
        </w:rPr>
        <w:t>3. Head Pose Compensation Errors</w:t>
      </w:r>
    </w:p>
    <w:p w14:paraId="2CE4CCF8"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 xml:space="preserve">The head pose estimation (solvePnP) assumes a </w:t>
      </w:r>
      <w:r w:rsidRPr="001B2642">
        <w:rPr>
          <w:rFonts w:ascii="Times New Roman" w:eastAsia="Times New Roman" w:hAnsi="Times New Roman" w:cs="Times New Roman"/>
          <w:b/>
          <w:bCs/>
          <w:kern w:val="0"/>
          <w14:ligatures w14:val="none"/>
        </w:rPr>
        <w:t>symmetric facial geometry model</w:t>
      </w:r>
      <w:r w:rsidRPr="001B2642">
        <w:rPr>
          <w:rFonts w:ascii="Times New Roman" w:eastAsia="Times New Roman" w:hAnsi="Times New Roman" w:cs="Times New Roman"/>
          <w:kern w:val="0"/>
          <w14:ligatures w14:val="none"/>
        </w:rPr>
        <w:t xml:space="preserve"> when estimating yaw and pitch. On an asymmetric face, the estimated pose will be slightly wrong — the algorithm may think the head is turned when it's actually straight. This introduces a small but meaningful error in the perspective correction step.</w:t>
      </w:r>
    </w:p>
    <w:p w14:paraId="60980B40" w14:textId="77777777" w:rsidR="001B2642" w:rsidRPr="001B2642" w:rsidRDefault="001B2642" w:rsidP="001B2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2642">
        <w:rPr>
          <w:rFonts w:ascii="Times New Roman" w:eastAsia="Times New Roman" w:hAnsi="Times New Roman" w:cs="Times New Roman"/>
          <w:b/>
          <w:bCs/>
          <w:kern w:val="0"/>
          <w:sz w:val="27"/>
          <w:szCs w:val="27"/>
          <w14:ligatures w14:val="none"/>
        </w:rPr>
        <w:t>4. Landmark Model Bias</w:t>
      </w:r>
    </w:p>
    <w:p w14:paraId="43F48931"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lastRenderedPageBreak/>
        <w:t>MediaPipe FaceMesh is trained predominantly on faces that cluster around average symmetry. For significantly asymmetric faces (e.g., post-surgical, congenital conditions), landmark placement accuracy degrades, particularly around the nose bridge and inner eye corners.</w:t>
      </w:r>
    </w:p>
    <w:p w14:paraId="173FE8B5" w14:textId="77777777" w:rsidR="001B2642" w:rsidRPr="001B2642" w:rsidRDefault="007350E8" w:rsidP="001B2642">
      <w:pPr>
        <w:spacing w:after="0" w:line="240" w:lineRule="auto"/>
        <w:rPr>
          <w:rFonts w:ascii="Times New Roman" w:eastAsia="Times New Roman" w:hAnsi="Times New Roman" w:cs="Times New Roman"/>
          <w:kern w:val="0"/>
          <w14:ligatures w14:val="none"/>
        </w:rPr>
      </w:pPr>
      <w:r w:rsidRPr="007350E8">
        <w:rPr>
          <w:rFonts w:ascii="Times New Roman" w:eastAsia="Times New Roman" w:hAnsi="Times New Roman" w:cs="Times New Roman"/>
          <w:noProof/>
          <w:kern w:val="0"/>
        </w:rPr>
        <w:pict w14:anchorId="3CBD3398">
          <v:rect id="_x0000_i1027" alt="" style="width:468pt;height:.05pt;mso-width-percent:0;mso-height-percent:0;mso-width-percent:0;mso-height-percent:0" o:hralign="center" o:hrstd="t" o:hr="t" fillcolor="#a0a0a0" stroked="f"/>
        </w:pict>
      </w:r>
    </w:p>
    <w:p w14:paraId="09CF1B4F" w14:textId="77777777" w:rsidR="001B2642" w:rsidRPr="001B2642" w:rsidRDefault="001B2642" w:rsidP="001B2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2642">
        <w:rPr>
          <w:rFonts w:ascii="Times New Roman" w:eastAsia="Times New Roman" w:hAnsi="Times New Roman" w:cs="Times New Roman"/>
          <w:b/>
          <w:bCs/>
          <w:kern w:val="0"/>
          <w:sz w:val="36"/>
          <w:szCs w:val="36"/>
          <w14:ligatures w14:val="none"/>
        </w:rPr>
        <w:t>Estimated Error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1452"/>
        <w:gridCol w:w="1879"/>
        <w:gridCol w:w="3683"/>
      </w:tblGrid>
      <w:tr w:rsidR="001B2642" w:rsidRPr="001B2642" w14:paraId="4F97C188" w14:textId="77777777">
        <w:trPr>
          <w:tblHeader/>
          <w:tblCellSpacing w:w="15" w:type="dxa"/>
        </w:trPr>
        <w:tc>
          <w:tcPr>
            <w:tcW w:w="0" w:type="auto"/>
            <w:vAlign w:val="center"/>
            <w:hideMark/>
          </w:tcPr>
          <w:p w14:paraId="695757F9" w14:textId="77777777" w:rsidR="001B2642" w:rsidRPr="001B2642" w:rsidRDefault="001B2642" w:rsidP="001B2642">
            <w:pPr>
              <w:spacing w:after="0" w:line="240" w:lineRule="auto"/>
              <w:jc w:val="center"/>
              <w:rPr>
                <w:rFonts w:ascii="Times New Roman" w:eastAsia="Times New Roman" w:hAnsi="Times New Roman" w:cs="Times New Roman"/>
                <w:b/>
                <w:bCs/>
                <w:kern w:val="0"/>
                <w14:ligatures w14:val="none"/>
              </w:rPr>
            </w:pPr>
            <w:r w:rsidRPr="001B2642">
              <w:rPr>
                <w:rFonts w:ascii="Times New Roman" w:eastAsia="Times New Roman" w:hAnsi="Times New Roman" w:cs="Times New Roman"/>
                <w:b/>
                <w:bCs/>
                <w:kern w:val="0"/>
                <w14:ligatures w14:val="none"/>
              </w:rPr>
              <w:t>Asymmetry Level</w:t>
            </w:r>
          </w:p>
        </w:tc>
        <w:tc>
          <w:tcPr>
            <w:tcW w:w="0" w:type="auto"/>
            <w:vAlign w:val="center"/>
            <w:hideMark/>
          </w:tcPr>
          <w:p w14:paraId="56D6E716" w14:textId="77777777" w:rsidR="001B2642" w:rsidRPr="001B2642" w:rsidRDefault="001B2642" w:rsidP="001B2642">
            <w:pPr>
              <w:spacing w:after="0" w:line="240" w:lineRule="auto"/>
              <w:jc w:val="center"/>
              <w:rPr>
                <w:rFonts w:ascii="Times New Roman" w:eastAsia="Times New Roman" w:hAnsi="Times New Roman" w:cs="Times New Roman"/>
                <w:b/>
                <w:bCs/>
                <w:kern w:val="0"/>
                <w14:ligatures w14:val="none"/>
              </w:rPr>
            </w:pPr>
            <w:r w:rsidRPr="001B2642">
              <w:rPr>
                <w:rFonts w:ascii="Times New Roman" w:eastAsia="Times New Roman" w:hAnsi="Times New Roman" w:cs="Times New Roman"/>
                <w:b/>
                <w:bCs/>
                <w:kern w:val="0"/>
                <w14:ligatures w14:val="none"/>
              </w:rPr>
              <w:t>Total PD Error</w:t>
            </w:r>
          </w:p>
        </w:tc>
        <w:tc>
          <w:tcPr>
            <w:tcW w:w="0" w:type="auto"/>
            <w:vAlign w:val="center"/>
            <w:hideMark/>
          </w:tcPr>
          <w:p w14:paraId="0D6C2BF5" w14:textId="77777777" w:rsidR="001B2642" w:rsidRPr="001B2642" w:rsidRDefault="001B2642" w:rsidP="001B2642">
            <w:pPr>
              <w:spacing w:after="0" w:line="240" w:lineRule="auto"/>
              <w:jc w:val="center"/>
              <w:rPr>
                <w:rFonts w:ascii="Times New Roman" w:eastAsia="Times New Roman" w:hAnsi="Times New Roman" w:cs="Times New Roman"/>
                <w:b/>
                <w:bCs/>
                <w:kern w:val="0"/>
                <w14:ligatures w14:val="none"/>
              </w:rPr>
            </w:pPr>
            <w:r w:rsidRPr="001B2642">
              <w:rPr>
                <w:rFonts w:ascii="Times New Roman" w:eastAsia="Times New Roman" w:hAnsi="Times New Roman" w:cs="Times New Roman"/>
                <w:b/>
                <w:bCs/>
                <w:kern w:val="0"/>
                <w14:ligatures w14:val="none"/>
              </w:rPr>
              <w:t>Monocular PD Error</w:t>
            </w:r>
          </w:p>
        </w:tc>
        <w:tc>
          <w:tcPr>
            <w:tcW w:w="0" w:type="auto"/>
            <w:vAlign w:val="center"/>
            <w:hideMark/>
          </w:tcPr>
          <w:p w14:paraId="09DF1E3D" w14:textId="77777777" w:rsidR="001B2642" w:rsidRPr="001B2642" w:rsidRDefault="001B2642" w:rsidP="001B2642">
            <w:pPr>
              <w:spacing w:after="0" w:line="240" w:lineRule="auto"/>
              <w:jc w:val="center"/>
              <w:rPr>
                <w:rFonts w:ascii="Times New Roman" w:eastAsia="Times New Roman" w:hAnsi="Times New Roman" w:cs="Times New Roman"/>
                <w:b/>
                <w:bCs/>
                <w:kern w:val="0"/>
                <w14:ligatures w14:val="none"/>
              </w:rPr>
            </w:pPr>
            <w:r w:rsidRPr="001B2642">
              <w:rPr>
                <w:rFonts w:ascii="Times New Roman" w:eastAsia="Times New Roman" w:hAnsi="Times New Roman" w:cs="Times New Roman"/>
                <w:b/>
                <w:bCs/>
                <w:kern w:val="0"/>
                <w14:ligatures w14:val="none"/>
              </w:rPr>
              <w:t>Clinical Risk</w:t>
            </w:r>
          </w:p>
        </w:tc>
      </w:tr>
      <w:tr w:rsidR="001B2642" w:rsidRPr="001B2642" w14:paraId="78A9D00A" w14:textId="77777777">
        <w:trPr>
          <w:tblCellSpacing w:w="15" w:type="dxa"/>
        </w:trPr>
        <w:tc>
          <w:tcPr>
            <w:tcW w:w="0" w:type="auto"/>
            <w:vAlign w:val="center"/>
            <w:hideMark/>
          </w:tcPr>
          <w:p w14:paraId="0BE8612A"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Mild (&lt; 2mm deviation)</w:t>
            </w:r>
          </w:p>
        </w:tc>
        <w:tc>
          <w:tcPr>
            <w:tcW w:w="0" w:type="auto"/>
            <w:vAlign w:val="center"/>
            <w:hideMark/>
          </w:tcPr>
          <w:p w14:paraId="6CE44B2B"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Negligible</w:t>
            </w:r>
          </w:p>
        </w:tc>
        <w:tc>
          <w:tcPr>
            <w:tcW w:w="0" w:type="auto"/>
            <w:vAlign w:val="center"/>
            <w:hideMark/>
          </w:tcPr>
          <w:p w14:paraId="0D249255"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±0.5–1.0 mm</w:t>
            </w:r>
          </w:p>
        </w:tc>
        <w:tc>
          <w:tcPr>
            <w:tcW w:w="0" w:type="auto"/>
            <w:vAlign w:val="center"/>
            <w:hideMark/>
          </w:tcPr>
          <w:p w14:paraId="4F0E74F6"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Low — within tolerance for most Rx</w:t>
            </w:r>
          </w:p>
        </w:tc>
      </w:tr>
      <w:tr w:rsidR="001B2642" w:rsidRPr="001B2642" w14:paraId="22643037" w14:textId="77777777">
        <w:trPr>
          <w:tblCellSpacing w:w="15" w:type="dxa"/>
        </w:trPr>
        <w:tc>
          <w:tcPr>
            <w:tcW w:w="0" w:type="auto"/>
            <w:vAlign w:val="center"/>
            <w:hideMark/>
          </w:tcPr>
          <w:p w14:paraId="259F0532"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Moderate (2–4mm deviation)</w:t>
            </w:r>
          </w:p>
        </w:tc>
        <w:tc>
          <w:tcPr>
            <w:tcW w:w="0" w:type="auto"/>
            <w:vAlign w:val="center"/>
            <w:hideMark/>
          </w:tcPr>
          <w:p w14:paraId="609728DA"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±0.5 mm</w:t>
            </w:r>
          </w:p>
        </w:tc>
        <w:tc>
          <w:tcPr>
            <w:tcW w:w="0" w:type="auto"/>
            <w:vAlign w:val="center"/>
            <w:hideMark/>
          </w:tcPr>
          <w:p w14:paraId="22071D4C"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±1.5–2.5 mm</w:t>
            </w:r>
          </w:p>
        </w:tc>
        <w:tc>
          <w:tcPr>
            <w:tcW w:w="0" w:type="auto"/>
            <w:vAlign w:val="center"/>
            <w:hideMark/>
          </w:tcPr>
          <w:p w14:paraId="05FBA7E2"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Medium — significant for progressives</w:t>
            </w:r>
          </w:p>
        </w:tc>
      </w:tr>
      <w:tr w:rsidR="001B2642" w:rsidRPr="001B2642" w14:paraId="67539A75" w14:textId="77777777">
        <w:trPr>
          <w:tblCellSpacing w:w="15" w:type="dxa"/>
        </w:trPr>
        <w:tc>
          <w:tcPr>
            <w:tcW w:w="0" w:type="auto"/>
            <w:vAlign w:val="center"/>
            <w:hideMark/>
          </w:tcPr>
          <w:p w14:paraId="789A80C6"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Severe (&gt; 4mm deviation)</w:t>
            </w:r>
          </w:p>
        </w:tc>
        <w:tc>
          <w:tcPr>
            <w:tcW w:w="0" w:type="auto"/>
            <w:vAlign w:val="center"/>
            <w:hideMark/>
          </w:tcPr>
          <w:p w14:paraId="5A4B211E"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±1.0–2.0 mm</w:t>
            </w:r>
          </w:p>
        </w:tc>
        <w:tc>
          <w:tcPr>
            <w:tcW w:w="0" w:type="auto"/>
            <w:vAlign w:val="center"/>
            <w:hideMark/>
          </w:tcPr>
          <w:p w14:paraId="0F42590A"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±3.0–5.0 mm</w:t>
            </w:r>
          </w:p>
        </w:tc>
        <w:tc>
          <w:tcPr>
            <w:tcW w:w="0" w:type="auto"/>
            <w:vAlign w:val="center"/>
            <w:hideMark/>
          </w:tcPr>
          <w:p w14:paraId="7F5E7FA3" w14:textId="77777777" w:rsidR="001B2642" w:rsidRPr="001B2642" w:rsidRDefault="001B2642" w:rsidP="001B2642">
            <w:pPr>
              <w:spacing w:after="0"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High — professional measurement recommended</w:t>
            </w:r>
          </w:p>
        </w:tc>
      </w:tr>
    </w:tbl>
    <w:p w14:paraId="0D59594B" w14:textId="77777777" w:rsidR="001B2642" w:rsidRPr="001B2642" w:rsidRDefault="007350E8" w:rsidP="001B2642">
      <w:pPr>
        <w:spacing w:after="0" w:line="240" w:lineRule="auto"/>
        <w:rPr>
          <w:rFonts w:ascii="Times New Roman" w:eastAsia="Times New Roman" w:hAnsi="Times New Roman" w:cs="Times New Roman"/>
          <w:kern w:val="0"/>
          <w14:ligatures w14:val="none"/>
        </w:rPr>
      </w:pPr>
      <w:r w:rsidRPr="007350E8">
        <w:rPr>
          <w:rFonts w:ascii="Times New Roman" w:eastAsia="Times New Roman" w:hAnsi="Times New Roman" w:cs="Times New Roman"/>
          <w:noProof/>
          <w:kern w:val="0"/>
        </w:rPr>
        <w:pict w14:anchorId="21D271F8">
          <v:rect id="_x0000_i1026" alt="" style="width:468pt;height:.05pt;mso-width-percent:0;mso-height-percent:0;mso-width-percent:0;mso-height-percent:0" o:hralign="center" o:hrstd="t" o:hr="t" fillcolor="#a0a0a0" stroked="f"/>
        </w:pict>
      </w:r>
    </w:p>
    <w:p w14:paraId="37C33D1B" w14:textId="77777777" w:rsidR="001B2642" w:rsidRPr="001B2642" w:rsidRDefault="001B2642" w:rsidP="001B2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2642">
        <w:rPr>
          <w:rFonts w:ascii="Times New Roman" w:eastAsia="Times New Roman" w:hAnsi="Times New Roman" w:cs="Times New Roman"/>
          <w:b/>
          <w:bCs/>
          <w:kern w:val="0"/>
          <w:sz w:val="36"/>
          <w:szCs w:val="36"/>
          <w14:ligatures w14:val="none"/>
        </w:rPr>
        <w:t>How a Well-Built App Should Handle This</w:t>
      </w:r>
    </w:p>
    <w:p w14:paraId="580C0AC0"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b/>
          <w:bCs/>
          <w:kern w:val="0"/>
          <w14:ligatures w14:val="none"/>
        </w:rPr>
        <w:t>1. Measure monocular PD independently</w:t>
      </w:r>
      <w:r w:rsidRPr="001B2642">
        <w:rPr>
          <w:rFonts w:ascii="Times New Roman" w:eastAsia="Times New Roman" w:hAnsi="Times New Roman" w:cs="Times New Roman"/>
          <w:kern w:val="0"/>
          <w14:ligatures w14:val="none"/>
        </w:rPr>
        <w:t xml:space="preserve"> — don't derive it by halving total PD. Measure left and right pupil-to-bridge distances separately and report both.</w:t>
      </w:r>
    </w:p>
    <w:p w14:paraId="61054EB3"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b/>
          <w:bCs/>
          <w:kern w:val="0"/>
          <w14:ligatures w14:val="none"/>
        </w:rPr>
        <w:t>2. Detect and flag asymmetry</w:t>
      </w:r>
      <w:r w:rsidRPr="001B2642">
        <w:rPr>
          <w:rFonts w:ascii="Times New Roman" w:eastAsia="Times New Roman" w:hAnsi="Times New Roman" w:cs="Times New Roman"/>
          <w:kern w:val="0"/>
          <w14:ligatures w14:val="none"/>
        </w:rPr>
        <w:t xml:space="preserve"> — if the left and right monocular PDs differ by more than 2mm, surface a warning: </w:t>
      </w:r>
      <w:r w:rsidRPr="001B2642">
        <w:rPr>
          <w:rFonts w:ascii="Times New Roman" w:eastAsia="Times New Roman" w:hAnsi="Times New Roman" w:cs="Times New Roman"/>
          <w:i/>
          <w:iCs/>
          <w:kern w:val="0"/>
          <w14:ligatures w14:val="none"/>
        </w:rPr>
        <w:t>"Your measurements suggest facial asymmetry. For high-prescription or progressive lenses, we recommend an in-store fitting."</w:t>
      </w:r>
    </w:p>
    <w:p w14:paraId="23A918E6"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b/>
          <w:bCs/>
          <w:kern w:val="0"/>
          <w14:ligatures w14:val="none"/>
        </w:rPr>
        <w:t>3. Capture vertical eye offset</w:t>
      </w:r>
      <w:r w:rsidRPr="001B2642">
        <w:rPr>
          <w:rFonts w:ascii="Times New Roman" w:eastAsia="Times New Roman" w:hAnsi="Times New Roman" w:cs="Times New Roman"/>
          <w:kern w:val="0"/>
          <w14:ligatures w14:val="none"/>
        </w:rPr>
        <w:t xml:space="preserve"> — report the height difference between left and right pupil Y coordinates. This is valuable data for progressive lens fitting that most apps ignore.</w:t>
      </w:r>
    </w:p>
    <w:p w14:paraId="292CEA4D"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b/>
          <w:bCs/>
          <w:kern w:val="0"/>
          <w14:ligatures w14:val="none"/>
        </w:rPr>
        <w:t>4. Use anatomical nose bridge landmarks</w:t>
      </w:r>
      <w:r w:rsidRPr="001B2642">
        <w:rPr>
          <w:rFonts w:ascii="Times New Roman" w:eastAsia="Times New Roman" w:hAnsi="Times New Roman" w:cs="Times New Roman"/>
          <w:kern w:val="0"/>
          <w14:ligatures w14:val="none"/>
        </w:rPr>
        <w:t xml:space="preserve"> — rather than deriving bridge center from inner canthi midpoint, use MediaPipe's specific nose tip and nasion landmarks (landmarks 4 and 6) for a more anatomically grounded reference.</w:t>
      </w:r>
    </w:p>
    <w:p w14:paraId="3B254F09"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b/>
          <w:bCs/>
          <w:kern w:val="0"/>
          <w14:ligatures w14:val="none"/>
        </w:rPr>
        <w:t>5. Multi-angle capture (Phase 2)</w:t>
      </w:r>
      <w:r w:rsidRPr="001B2642">
        <w:rPr>
          <w:rFonts w:ascii="Times New Roman" w:eastAsia="Times New Roman" w:hAnsi="Times New Roman" w:cs="Times New Roman"/>
          <w:kern w:val="0"/>
          <w14:ligatures w14:val="none"/>
        </w:rPr>
        <w:t xml:space="preserve"> — capturing a slight left-turn and right-turn frame allows the system to detect asymmetry in 3D and compensate the bridge center estimate accordingly.</w:t>
      </w:r>
    </w:p>
    <w:p w14:paraId="2155D58D" w14:textId="77777777" w:rsidR="001B2642" w:rsidRPr="001B2642" w:rsidRDefault="007350E8" w:rsidP="001B2642">
      <w:pPr>
        <w:spacing w:after="0" w:line="240" w:lineRule="auto"/>
        <w:rPr>
          <w:rFonts w:ascii="Times New Roman" w:eastAsia="Times New Roman" w:hAnsi="Times New Roman" w:cs="Times New Roman"/>
          <w:kern w:val="0"/>
          <w14:ligatures w14:val="none"/>
        </w:rPr>
      </w:pPr>
      <w:r w:rsidRPr="007350E8">
        <w:rPr>
          <w:rFonts w:ascii="Times New Roman" w:eastAsia="Times New Roman" w:hAnsi="Times New Roman" w:cs="Times New Roman"/>
          <w:noProof/>
          <w:kern w:val="0"/>
        </w:rPr>
        <w:pict w14:anchorId="1AB7FF3A">
          <v:rect id="_x0000_i1025" alt="" style="width:468pt;height:.05pt;mso-width-percent:0;mso-height-percent:0;mso-width-percent:0;mso-height-percent:0" o:hralign="center" o:hrstd="t" o:hr="t" fillcolor="#a0a0a0" stroked="f"/>
        </w:pict>
      </w:r>
    </w:p>
    <w:p w14:paraId="74EE4E6C" w14:textId="77777777" w:rsidR="001B2642" w:rsidRPr="001B2642" w:rsidRDefault="001B2642" w:rsidP="001B2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2642">
        <w:rPr>
          <w:rFonts w:ascii="Times New Roman" w:eastAsia="Times New Roman" w:hAnsi="Times New Roman" w:cs="Times New Roman"/>
          <w:b/>
          <w:bCs/>
          <w:kern w:val="0"/>
          <w:sz w:val="36"/>
          <w:szCs w:val="36"/>
          <w14:ligatures w14:val="none"/>
        </w:rPr>
        <w:t>Bottom Line</w:t>
      </w:r>
    </w:p>
    <w:p w14:paraId="75437B05"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 xml:space="preserve">For the vast majority of users with mild asymmetry, the app's total PD will be accurate enough. The vulnerability is </w:t>
      </w:r>
      <w:r w:rsidRPr="001B2642">
        <w:rPr>
          <w:rFonts w:ascii="Times New Roman" w:eastAsia="Times New Roman" w:hAnsi="Times New Roman" w:cs="Times New Roman"/>
          <w:b/>
          <w:bCs/>
          <w:kern w:val="0"/>
          <w14:ligatures w14:val="none"/>
        </w:rPr>
        <w:t>monocular PD on moderately or severely asymmetric faces</w:t>
      </w:r>
      <w:r w:rsidRPr="001B2642">
        <w:rPr>
          <w:rFonts w:ascii="Times New Roman" w:eastAsia="Times New Roman" w:hAnsi="Times New Roman" w:cs="Times New Roman"/>
          <w:kern w:val="0"/>
          <w14:ligatures w14:val="none"/>
        </w:rPr>
        <w:t xml:space="preserve">, which is </w:t>
      </w:r>
      <w:r w:rsidRPr="001B2642">
        <w:rPr>
          <w:rFonts w:ascii="Times New Roman" w:eastAsia="Times New Roman" w:hAnsi="Times New Roman" w:cs="Times New Roman"/>
          <w:kern w:val="0"/>
          <w14:ligatures w14:val="none"/>
        </w:rPr>
        <w:lastRenderedPageBreak/>
        <w:t>exactly where progressives and high-Rx patients need precision most. A confidence flag tied to the asymmetry delta is the practical solution — and worth adding to the PRD.</w:t>
      </w:r>
    </w:p>
    <w:p w14:paraId="38D35D56" w14:textId="77777777" w:rsidR="001B2642" w:rsidRPr="001B2642" w:rsidRDefault="001B2642" w:rsidP="001B2642">
      <w:pPr>
        <w:spacing w:before="100" w:beforeAutospacing="1" w:after="100" w:afterAutospacing="1" w:line="240" w:lineRule="auto"/>
        <w:rPr>
          <w:rFonts w:ascii="Times New Roman" w:eastAsia="Times New Roman" w:hAnsi="Times New Roman" w:cs="Times New Roman"/>
          <w:kern w:val="0"/>
          <w14:ligatures w14:val="none"/>
        </w:rPr>
      </w:pPr>
      <w:r w:rsidRPr="001B2642">
        <w:rPr>
          <w:rFonts w:ascii="Times New Roman" w:eastAsia="Times New Roman" w:hAnsi="Times New Roman" w:cs="Times New Roman"/>
          <w:kern w:val="0"/>
          <w14:ligatures w14:val="none"/>
        </w:rPr>
        <w:t>Want me to update the PRD to include asymmetry detection and handling as a measurement quality feature?</w:t>
      </w:r>
    </w:p>
    <w:p w14:paraId="421FA163" w14:textId="77777777" w:rsidR="001B2642" w:rsidRDefault="001B2642"/>
    <w:sectPr w:rsidR="001B26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D47CE"/>
    <w:multiLevelType w:val="multilevel"/>
    <w:tmpl w:val="F44C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29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642"/>
    <w:rsid w:val="00014F4A"/>
    <w:rsid w:val="001B2642"/>
    <w:rsid w:val="0073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25B12"/>
  <w15:chartTrackingRefBased/>
  <w15:docId w15:val="{78642C31-18F7-584B-858E-3797A5C9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2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2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2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2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642"/>
    <w:rPr>
      <w:rFonts w:eastAsiaTheme="majorEastAsia" w:cstheme="majorBidi"/>
      <w:color w:val="272727" w:themeColor="text1" w:themeTint="D8"/>
    </w:rPr>
  </w:style>
  <w:style w:type="paragraph" w:styleId="Title">
    <w:name w:val="Title"/>
    <w:basedOn w:val="Normal"/>
    <w:next w:val="Normal"/>
    <w:link w:val="TitleChar"/>
    <w:uiPriority w:val="10"/>
    <w:qFormat/>
    <w:rsid w:val="001B2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642"/>
    <w:pPr>
      <w:spacing w:before="160"/>
      <w:jc w:val="center"/>
    </w:pPr>
    <w:rPr>
      <w:i/>
      <w:iCs/>
      <w:color w:val="404040" w:themeColor="text1" w:themeTint="BF"/>
    </w:rPr>
  </w:style>
  <w:style w:type="character" w:customStyle="1" w:styleId="QuoteChar">
    <w:name w:val="Quote Char"/>
    <w:basedOn w:val="DefaultParagraphFont"/>
    <w:link w:val="Quote"/>
    <w:uiPriority w:val="29"/>
    <w:rsid w:val="001B2642"/>
    <w:rPr>
      <w:i/>
      <w:iCs/>
      <w:color w:val="404040" w:themeColor="text1" w:themeTint="BF"/>
    </w:rPr>
  </w:style>
  <w:style w:type="paragraph" w:styleId="ListParagraph">
    <w:name w:val="List Paragraph"/>
    <w:basedOn w:val="Normal"/>
    <w:uiPriority w:val="34"/>
    <w:qFormat/>
    <w:rsid w:val="001B2642"/>
    <w:pPr>
      <w:ind w:left="720"/>
      <w:contextualSpacing/>
    </w:pPr>
  </w:style>
  <w:style w:type="character" w:styleId="IntenseEmphasis">
    <w:name w:val="Intense Emphasis"/>
    <w:basedOn w:val="DefaultParagraphFont"/>
    <w:uiPriority w:val="21"/>
    <w:qFormat/>
    <w:rsid w:val="001B2642"/>
    <w:rPr>
      <w:i/>
      <w:iCs/>
      <w:color w:val="0F4761" w:themeColor="accent1" w:themeShade="BF"/>
    </w:rPr>
  </w:style>
  <w:style w:type="paragraph" w:styleId="IntenseQuote">
    <w:name w:val="Intense Quote"/>
    <w:basedOn w:val="Normal"/>
    <w:next w:val="Normal"/>
    <w:link w:val="IntenseQuoteChar"/>
    <w:uiPriority w:val="30"/>
    <w:qFormat/>
    <w:rsid w:val="001B2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642"/>
    <w:rPr>
      <w:i/>
      <w:iCs/>
      <w:color w:val="0F4761" w:themeColor="accent1" w:themeShade="BF"/>
    </w:rPr>
  </w:style>
  <w:style w:type="character" w:styleId="IntenseReference">
    <w:name w:val="Intense Reference"/>
    <w:basedOn w:val="DefaultParagraphFont"/>
    <w:uiPriority w:val="32"/>
    <w:qFormat/>
    <w:rsid w:val="001B2642"/>
    <w:rPr>
      <w:b/>
      <w:bCs/>
      <w:smallCaps/>
      <w:color w:val="0F4761" w:themeColor="accent1" w:themeShade="BF"/>
      <w:spacing w:val="5"/>
    </w:rPr>
  </w:style>
  <w:style w:type="paragraph" w:styleId="NormalWeb">
    <w:name w:val="Normal (Web)"/>
    <w:basedOn w:val="Normal"/>
    <w:uiPriority w:val="99"/>
    <w:semiHidden/>
    <w:unhideWhenUsed/>
    <w:rsid w:val="001B26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2642"/>
    <w:rPr>
      <w:b/>
      <w:bCs/>
    </w:rPr>
  </w:style>
  <w:style w:type="character" w:styleId="Emphasis">
    <w:name w:val="Emphasis"/>
    <w:basedOn w:val="DefaultParagraphFont"/>
    <w:uiPriority w:val="20"/>
    <w:qFormat/>
    <w:rsid w:val="001B26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Baker</dc:creator>
  <cp:keywords/>
  <dc:description/>
  <cp:lastModifiedBy>Jason Baker</cp:lastModifiedBy>
  <cp:revision>1</cp:revision>
  <dcterms:created xsi:type="dcterms:W3CDTF">2026-06-06T02:30:00Z</dcterms:created>
  <dcterms:modified xsi:type="dcterms:W3CDTF">2026-06-06T02:31:00Z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60d26b-e0ab-4051-af3f-f83f6411bd05_Enabled">
    <vt:lpwstr>true</vt:lpwstr>
  </property>
  <property fmtid="{D5CDD505-2E9C-101B-9397-08002B2CF9AE}" pid="3" name="MSIP_Label_8460d26b-e0ab-4051-af3f-f83f6411bd05_SetDate">
    <vt:lpwstr>2026-06-06T02:31:52Z</vt:lpwstr>
  </property>
  <property fmtid="{D5CDD505-2E9C-101B-9397-08002B2CF9AE}" pid="4" name="MSIP_Label_8460d26b-e0ab-4051-af3f-f83f6411bd05_Method">
    <vt:lpwstr>Standard</vt:lpwstr>
  </property>
  <property fmtid="{D5CDD505-2E9C-101B-9397-08002B2CF9AE}" pid="5" name="MSIP_Label_8460d26b-e0ab-4051-af3f-f83f6411bd05_Name">
    <vt:lpwstr>Internal</vt:lpwstr>
  </property>
  <property fmtid="{D5CDD505-2E9C-101B-9397-08002B2CF9AE}" pid="6" name="MSIP_Label_8460d26b-e0ab-4051-af3f-f83f6411bd05_SiteId">
    <vt:lpwstr>30b161a8-bda4-4091-9334-2553cbe29c3e</vt:lpwstr>
  </property>
  <property fmtid="{D5CDD505-2E9C-101B-9397-08002B2CF9AE}" pid="7" name="MSIP_Label_8460d26b-e0ab-4051-af3f-f83f6411bd05_ActionId">
    <vt:lpwstr>e5db97ae-b95e-4edd-b23b-de7f335979d4</vt:lpwstr>
  </property>
  <property fmtid="{D5CDD505-2E9C-101B-9397-08002B2CF9AE}" pid="8" name="MSIP_Label_8460d26b-e0ab-4051-af3f-f83f6411bd05_ContentBits">
    <vt:lpwstr>0</vt:lpwstr>
  </property>
  <property fmtid="{D5CDD505-2E9C-101B-9397-08002B2CF9AE}" pid="9" name="MSIP_Label_8460d26b-e0ab-4051-af3f-f83f6411bd05_Tag">
    <vt:lpwstr>50, 3, 0, 1</vt:lpwstr>
  </property>
</Properties>
</file>