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REKAB-COMPUTE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F75B6"/>
          <w:sz w:val="26"/>
          <w:szCs w:val="26"/>
        </w:rPr>
        <w:t xml:space="preserve">AI-Powered Facial Measurement Platform for Eyewear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Pre-Seed  ·  $250K–$500K Target Raise  ·  API-First  ·  Global</w:t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1.  THE OPPORTUNITY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Market size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Global eyewear market: $181.75B (2025) → $330B by 2034 at 7.0% CAGR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Online channel: 22% of global sales (~$40B) rising to 28% by 2026 — fastest-growing segment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Optometry software market (direct B2B): $1.6B (2025) → $3.5B by 2035 at 8.1% CAGR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30–40% return rate for prescription eyewear purchased online — driven by incorrect measurements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72% of online eyewear returns are linked to PD measurement error (Fittingbox / Optogrid, 2025)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Returns dropped 57% when an accurate online PD tool replaced manual ruler instructions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In-store pupillometers cost $628–$3,000 and require a trained optician — inaccessible for online retail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2.2 billion people globally have unaddressed vision impairment; Sub-Saharan Africa operates at 1 optometrist per 500,000–1M people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MediaPipe FaceMesh (468-landmark model) now runs in-browser at 30 fps via WebAssembly — no app download, no hardware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Fittingbox acquired Ditto (Oct 2023) — dominant incumbent focused on virtual try-on, not clinical measurement accuracy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competitor combines browser-native delivery + multi-measurement output + calibration-verified accuracy. That gap is Rekab-Compute's insertion point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2.  THE PRODUCT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Browser-native facial measurement web app — no app install, no hardware, works on any device with a camera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Captures 5 clinical measurements in a single session: binocular PD, monocular PD (L/R), bridge width, temple length, lens height, face width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Accuracy target: ±1.5 mm or better (competitive with in-store pupillometers at ±1 mm)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3-tier calibration: credit card ISO 7810 (primary) → physical ruler (secondary) → passport booklet ICAO 9303 (tertiary)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Asymmetry detection: classifies Mild / Moderate / Severe (clinically significant at &gt;2mm delta)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Confidence scoring: 0–100 per session with real-time quality feedback; auto-reject below 50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API-first architecture: REST + webhooks; white-label widget SDK for B2B partners to embed directly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3.  BUSINESS MODEL &amp; REVENUE STREAMS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Three revenue streams across two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059"/>
        <w:gridCol w:w="2246"/>
        <w:gridCol w:w="3370"/>
      </w:tblGrid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buyer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B2B API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Per-session + subscription tiers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$0.15–$0.35 / session
or $99–$499 / mo flat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Eyewear e-commerce platforms, EHR/optical practice mgmt systems, telehealth platforms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B2B SaaS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Per-location subscription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$179 / location / month
(annual: $149/mo)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Independent optical retail chains, optometry practices, vision clinics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B2C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Consumer subscription
(Phase 2+)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$3.99 / month
(blended ARPU target)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End consumers purchasing eyewear online; myopia monitoring for parents / children</w:t>
            </w:r>
          </w:p>
        </w:tc>
      </w:tr>
    </w:tbl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Unit economics (B2B API — primary revenue driver)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Average contract value (ACV) at launch: $14,400 / year ($1,200 / mo) — mid-tier flat rate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Estimated CAC: $2,800 (early inbound/outreach; no paid channel at pre-seed)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Gross margin: ~85% (compute costs ~$0.02–0.04 per session at scale; API infrastructure on OSS stack)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LTV / CAC target: 5:1 at 18 months (24-month contract, 90%+ gross retention assumed)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Payback period: ~2.3 months at ACV $14,400 and CAC $2,800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4.  GO-TO-MARKET STRATEGY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Phase 1 — API-first commercial (Months 0–18)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Target: US-based independent eyewear e-commerce platforms and optical chains (2–50 locations)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Motion: Founder-led outbound → product-led trial (7-day free API access) → conversion to paid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Channel: Direct outreach to VP Engineering / CTO; optical trade shows (Vision Expo, AAO)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10 paying B2B API customers, $10K–$15K MRR, 3 published accuracy case studies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Phase 2 — Vertical SaaS + developed international (Months 18–36)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Expand to optical practice management: embed within Eyefinity, Revolution EHR, Crystal PM ecosystems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EU (GDPR-compliant infrastructure), UK, Australia — Specsavers, Fielmann, GrandOptical as anchor targets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Launch B2C consumer widget (standalone and white-label); target $3.99/mo subscription via DTC eyewear brands</w:t>
      </w:r>
    </w:p>
    <w:p>
      <w:pPr>
        <w:pBdr>
          <w:bottom w:val="single" w:color="DCE6F1" w:sz="4" w:space="2"/>
        </w:pBd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Phase 3 — Consumer data network + emerging markets (Month 36+)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Aggregate anonymized measurement data → AI frame recommendation engine and retailer analytics product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Emerging markets: partner with NGOs, government health ministries, mobile health programs (India, SSA, SE Asia)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Pricing model shift: per-beneficiary / humanitarian licensing for NGO channel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5.  COMPETITIVE MOAT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Browser-native, zero-install delivery — Fittingbox and 6over6 require app downloads; hardware incumbents require $628–$3,000 devices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Multi-measurement output — 5 clinical measurements per session vs. PD-only for most competitors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3-tier calibration fallback — credit card → ruler → passport; no competitor has a calibration-verified fallback chain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Asymmetry detection as a clinical first-class feature — no competitor classifies or communicates asymmetry severity to downstream dispensers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API-first architecture — Warby Parker and Zenni built proprietary tools; neither licenses externally. Rekab-Compute is the neutral infrastructure layer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 flywheel — each validated pair sold feeds confidence model improvement; accuracy compounds over time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SOC 2 Type II roadmap — gates enterprise optical chain and EHR marketplace sales; 12–18 months to complete; entry barrier for new competitors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6.  FINANCIAL PROJECTIONS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Conservative case ($350K raised)  ·  Aggressive case ($500K raised)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685"/>
        <w:gridCol w:w="1685"/>
        <w:gridCol w:w="1685"/>
      </w:tblGrid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Series A trigger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Revenue — Conservative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~$13K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~$164K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~$765K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~Month 24
($22K MRR)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Revenue — Aggressive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~$51K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~$734K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~$3.1M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~Month 17
($35K MRR)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Pre-revenue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Break-even
(aggressive Y2)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Profitable
(both cases)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Series A: $3M–$5M
target raise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 assumption: 85% gross margin; infrastructure cost ~$0.03/session at scale on OSS stack (Neon, Fly.io, Cloudflare R2)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Conservative case: 1 new B2B customer / month in Year 1, ramping to 3–4 / month by Year 2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Aggressive case: 3 B2B customers / month in Year 1, 6–8 / month by Year 2 (assumes 1 anchor channel partner by Month 6)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7.  USE OF PRE-SEED FUNDS  ($350K–$500K)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685"/>
        <w:gridCol w:w="3931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 &amp; Engineering (MVP build)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40%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B2B API v1, widget SDK, Alembic migrations, OSS infra (Neon, Fly.io, Cloudflare R2)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Founder salary (18 months)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30%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Sustainable runway; founder focus 100% on product and sales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Sales &amp; GTM (tools, travel, trade shows)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15%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CRM, Vision Expo East, 3 anchor customer POCs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Legal, compliance &amp; IP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10%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BIPA / GDPR counsel, SOC 2 readiness gap assessment, API TOS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Contingency &amp; infrastructure scaling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5%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Buffer for unexpected compute or compliance costs</w:t>
            </w:r>
          </w:p>
        </w:tc>
      </w:tr>
    </w:tbl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8.  KEY MILESTONES TO SERIES A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Month 3 — API v1 live; first paying B2B customer integrated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Month 6 — 3rd-party accuracy validation published (addresses #1 SWOT weakness); first optical chain POC signed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Month 9 — SOC 2 Type II audit initiated; HIPAA BAA template executed with first clinical partner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Month 12 — 10+ active B2B customers; $10K+ MRR; first EU customer (GDPR-compliant deployment)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Month 18 — $22K+ MRR (conservative) or $35K+ MRR (aggressive); Series A raise initiated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Month 24 — Series A close; expand to ECS Fargate + RDS Aurora migration for enterprise SLA requirements</w:t>
      </w:r>
    </w:p>
    <w:p>
      <w:pPr>
        <w:pBdr>
          <w:bottom w:val="single" w:color="DCE6F1" w:sz="6" w:space="1"/>
        </w:pBdr>
        <w:spacing w:after="60" w:before="60"/>
      </w:pPr>
      <w:r>
        <w:t xml:space="preserve"/>
      </w:r>
    </w:p>
    <w:p>
      <w:pPr>
        <w:shd w:fill="1F3864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aps w:val="false"/>
          <w:color w:val="FFFFFF"/>
          <w:sz w:val="20"/>
          <w:szCs w:val="20"/>
        </w:rPr>
        <w:t xml:space="preserve">9.  WHY REKAB-COMPUTE WINS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Timing: software is finally accurate enough to replace hardware — MediaPipe Iris landmark precision crossed the ±1.5mm threshold in 2023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Distribution: API-first means no direct sales to end consumers; the eyewear platform acquires the customer, Rekab-Compute powers the session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Defensibility: calibration methodology, asymmetry detection, and SOC 2 compliance are hard to replicate quickly — not because the tech is secret, but because the domain knowledge and validation data take time to build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Market structure: Fittingbox / Essilor have a conflict of interest (hardware + software); Perfect Corp is generalist across beauty. Neither will build the neutral measurement infrastructure layer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Emerging markets optionality: a $181B commercial market AND a 2.2B person healthcare access problem on the same product infrastructure — asymmetric upside that hardware-only competitors cannot address</w:t>
      </w:r>
    </w:p>
    <w:p>
      <w:pPr>
        <w:spacing w:before="24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CONFIDENTIAL — For accredited investor review only. Not an offer to sell or solicitation to buy securities.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4" w:space="2"/>
      </w:pBdr>
      <w:tabs>
        <w:tab w:val="right" w:pos="9026"/>
      </w:tabs>
      <w:spacing w:before="40"/>
    </w:pPr>
    <w:r>
      <w:rPr>
        <w:rFonts w:ascii="Arial" w:cs="Arial" w:eastAsia="Arial" w:hAnsi="Arial"/>
        <w:color w:val="595959"/>
        <w:sz w:val="16"/>
        <w:szCs w:val="16"/>
      </w:rPr>
      <w:t xml:space="preserve">Rekab-Compute  ·  Confidential  ·  June 2026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6" w:space="2"/>
      </w:pBdr>
      <w:spacing w:after="4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REKAB-COMPUTE</w:t>
    </w:r>
    <w:r>
      <w:rPr>
        <w:rFonts w:ascii="Arial" w:cs="Arial" w:eastAsia="Arial" w:hAnsi="Arial"/>
        <w:color w:val="595959"/>
        <w:sz w:val="18"/>
        <w:szCs w:val="18"/>
      </w:rPr>
      <w:t xml:space="preserve">   |   Business Model Overview   |   Pre-Seed Round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2026-06-12T03:28:45.343Z</dcterms:created>
  <dcterms:modified xsi:type="dcterms:W3CDTF">2026-06-12T03:28:45.343Z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