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28" w:rsidRPr="009D2A28" w:rsidRDefault="009D2A28" w:rsidP="009D2A28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proofErr w:type="spellStart"/>
      <w:r w:rsidRPr="009D2A2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DXCore</w:t>
      </w:r>
      <w:proofErr w:type="spellEnd"/>
      <w:r w:rsidRPr="009D2A2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 Components – Action</w:t>
      </w:r>
    </w:p>
    <w:p w:rsidR="009D2A28" w:rsidRPr="009D2A28" w:rsidRDefault="009D2A28" w:rsidP="009D2A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17"/>
          <w:szCs w:val="17"/>
        </w:rPr>
        <w:t>September 17th, 2010</w:t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The</w:t>
      </w:r>
      <w:r w:rsidRPr="009D2A2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 Action </w:t>
      </w:r>
      <w:hyperlink r:id="rId4" w:tgtFrame="_blank" w:tooltip="DXCore components and controls list" w:history="1">
        <w:r w:rsidRPr="009D2A2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component</w:t>
        </w:r>
      </w:hyperlink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 is one of the primary, simplest and useful components of the </w:t>
      </w:r>
      <w:proofErr w:type="spellStart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"http://skorkin.com/2010/06/devexpress-dxcore-framework/" \o "DevExpress DXCore framework" \t "_blank" </w:instrText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9D2A28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DXCore</w:t>
      </w:r>
      <w:proofErr w:type="spellEnd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. It registers an “action” within </w:t>
      </w:r>
      <w:proofErr w:type="spellStart"/>
      <w:r w:rsidRPr="009D2A2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/</w:t>
      </w:r>
      <w:proofErr w:type="spellStart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"http://skorkin.com/2010/06/devexpress-coderush-pro/" \o "DevExpress CodeRush Pro" \t "_blank" </w:instrText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9D2A28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CodeRush</w:t>
      </w:r>
      <w:proofErr w:type="spellEnd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 xml:space="preserve"> and the Visual Studio IDE, which can be triggered using either a keyboard shortcut or a mouse button (with the shift key if necessary), and/or placed within a Visual Studio menu (e.g. in the IDE main menu, Code Editor context menu, </w:t>
      </w:r>
      <w:proofErr w:type="spellStart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etc</w:t>
      </w:r>
      <w:proofErr w:type="spellEnd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).</w:t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You can drop it onto your plug-in design surface from the “</w:t>
      </w:r>
      <w:proofErr w:type="spellStart"/>
      <w:r w:rsidRPr="009D2A2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” category of Visual Studio Toolbox:</w:t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3876675" cy="3133725"/>
            <wp:effectExtent l="0" t="0" r="9525" b="9525"/>
            <wp:docPr id="4" name="Picture 4" descr="DXCore Action Toolbox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XCore Action Toolbox 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It’s not a visual control, all you need is to tweak its properties and subscribe to its events. Here’s the </w:t>
      </w:r>
      <w:r w:rsidRPr="009D2A2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Properties</w:t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 window, containing available properties, their categories and default values:</w:t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857625" cy="7010400"/>
            <wp:effectExtent l="0" t="0" r="9525" b="0"/>
            <wp:docPr id="3" name="Picture 3" descr="DXCore Ac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XCore Action propert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and the Events list:</w:t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571875" cy="2705100"/>
            <wp:effectExtent l="0" t="0" r="9525" b="0"/>
            <wp:docPr id="2" name="Picture 2" descr="DXCore Action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XCore Action ev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The </w:t>
      </w:r>
      <w:r w:rsidRPr="009D2A2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Action</w:t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 component is located in the “</w:t>
      </w:r>
      <w:proofErr w:type="spellStart"/>
      <w:proofErr w:type="gramStart"/>
      <w:r w:rsidRPr="009D2A28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DevExpress.CodeRush.Core</w:t>
      </w:r>
      <w:proofErr w:type="spellEnd"/>
      <w:proofErr w:type="gramEnd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” assembly. It is derived from the “</w:t>
      </w:r>
      <w:proofErr w:type="spellStart"/>
      <w:proofErr w:type="gramStart"/>
      <w:r w:rsidRPr="009D2A28">
        <w:rPr>
          <w:rFonts w:ascii="Verdana" w:eastAsia="Times New Roman" w:hAnsi="Verdana" w:cs="Times New Roman"/>
          <w:b/>
          <w:bCs/>
          <w:i/>
          <w:iCs/>
          <w:color w:val="555555"/>
          <w:sz w:val="21"/>
          <w:szCs w:val="21"/>
        </w:rPr>
        <w:t>System.ComponentModel.Component</w:t>
      </w:r>
      <w:proofErr w:type="spellEnd"/>
      <w:proofErr w:type="gramEnd"/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” class:</w:t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3095625" cy="1200150"/>
            <wp:effectExtent l="0" t="0" r="9525" b="0"/>
            <wp:docPr id="1" name="Picture 1" descr="DXCore Acti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XCore Action hierarc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Here’s a list of properties in alphabetical order, without base class (</w:t>
      </w:r>
      <w:r w:rsidRPr="009D2A2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Component</w:t>
      </w: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) standard properties: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6075"/>
      </w:tblGrid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ActionName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action displayed in the IDE Tools UI.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ButtonText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Text for buttons and menu items associated with this action.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CommonMenu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common menu enumeration, e.g. “File”, “Edit”, “View”, etc.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A hint associated with this action, describing this action.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enabled state for this action in the current context. You can change this property in a 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BeforeQueryStatus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event handler.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GroupName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action group.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bitmap image for this action. Action images are optional, but can be useful for menu items and toolbar buttons inside the IDE.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ImageBackColor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image background color for this action. It is used to determine which color is to be treated as transparent in the bitmap assigned to the Image property.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Invisible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visibility for this action.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Latched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latched (e.g., selected or checked) state for this action in the current context. You can change this property in a 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BeforeQueryStatus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handler.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Ninched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indeterminate state (neither checked nor cleared) for this action in the current context. You can change this property in a 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BeforeQueryStatus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handler.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expected parameters for this action. Optional.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ParentMenu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name of the parenting command bar. If you want to create a menu item for this action, specify the name of the parenting command bar here (e.g., “Tools”). 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ParentMenu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is an alternative to 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CommonMenu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. Use the name of any menu you know of, to place the action on it, rather than one of “common” ones.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position for this action in the specified 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ParentMenu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. The first position is one. If you specify zero for this value, the item will be appended to the end of the menu. If you specify a negative number, the menu item position will be calculated from the end of the menu (e.g., if Position equals -1, then this menu item will be inserted before the last entry).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RegisterInCR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this action with 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DXCore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false, this action may still be available in the Visual Studio Options dialog on the Keyboard page. If you want to place this action in a menu or on a command bar, then you must set this property to true. If true, you can bind a keystroke to this command in </w:t>
            </w: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 </w:t>
            </w:r>
            <w:hyperlink r:id="rId9" w:tooltip="IDE tools Options Dialog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IDE Tools Options dialog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on the </w:t>
            </w:r>
            <w:hyperlink r:id="rId10" w:tooltip="IDE Tools (CodeRush) Shortcuts options page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Shortcuts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options page.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RegisterInVS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this action as a Visual Studio command. If false, you can still bind a keystroke to this action in the </w:t>
            </w:r>
            <w:hyperlink r:id="rId11" w:tooltip="IDE tools Options Dialog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IDE tools Options dialog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on the </w:t>
            </w:r>
            <w:hyperlink r:id="rId12" w:tooltip="IDE Tools (CodeRush) Shortcuts options page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Shortcuts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page. If true, this action will be available in the Visual Studio Options dialog on the Keyboard page. If you want to place this action in a menu or on a command bar, then you must set this property to true.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RegisterMenuButton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Registers this menu button for a Visual Studio command. It works only if option 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RegisterInVS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 to true.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if this action is supported in the current context. You can change this property in a 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BeforeQueryStatus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handler.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ToolbarItem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An instance of the “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DevExpress.CodeRush.Core.ToolbarAction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” object that allows you to </w:t>
            </w:r>
            <w:hyperlink r:id="rId13" w:tgtFrame="_blank" w:tooltip="How to programmatically add a button to the DXCore Visualize toolbar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add this action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to the 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"http://skorkin.com/2010/09/ide-tools-dxcore-visualize-toolbar/" \o "IDE tools DXCore Visualize toolbar" \t "_blank" </w:instrText>
            </w: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D2A28">
              <w:rPr>
                <w:rFonts w:ascii="Times New Roman" w:eastAsia="Times New Roman" w:hAnsi="Times New Roman" w:cs="Times New Roman"/>
                <w:color w:val="2970A6"/>
                <w:sz w:val="24"/>
                <w:szCs w:val="24"/>
                <w:u w:val="single"/>
              </w:rPr>
              <w:t>DXCore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color w:val="2970A6"/>
                <w:sz w:val="24"/>
                <w:szCs w:val="24"/>
                <w:u w:val="single"/>
              </w:rPr>
              <w:t xml:space="preserve"> Visualize toolbar</w:t>
            </w: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ToolbarAction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has the following properties: “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BeginGroup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ButtonIsPressed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”, “Caption”, “Image”, “Index”, “</w:t>
            </w: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PlaceIntoToolbar</w:t>
            </w:r>
            <w:proofErr w:type="spellEnd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UserFeatureUI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Show </w:t>
            </w:r>
            <w:hyperlink r:id="rId14" w:tooltip="IDE tools “What Happened?” (Feature UI) window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Feature UI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before executing this action.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VisibleToUsers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this Action will be visible to users, and will appear in the command list on the </w:t>
            </w:r>
            <w:hyperlink r:id="rId15" w:tooltip="IDE Tools (CodeRush) Shortcuts options page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Shortcuts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 options page, and will also be documented in the </w:t>
            </w:r>
            <w:hyperlink r:id="rId16" w:tgtFrame="_blank" w:tooltip="IDE Tools User Guide" w:history="1">
              <w:r w:rsidRPr="009D2A28">
                <w:rPr>
                  <w:rFonts w:ascii="Times New Roman" w:eastAsia="Times New Roman" w:hAnsi="Times New Roman" w:cs="Times New Roman"/>
                  <w:color w:val="2970A6"/>
                  <w:sz w:val="24"/>
                  <w:szCs w:val="24"/>
                  <w:u w:val="single"/>
                </w:rPr>
                <w:t>User Guide</w:t>
              </w:r>
            </w:hyperlink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. Setting this property to false will prevent this Action from appearing in the command list. However, bindings to this Action can still be established by typing in the Action name.</w:t>
            </w:r>
          </w:p>
        </w:tc>
      </w:tr>
    </w:tbl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Events: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6075"/>
      </w:tblGrid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BeforeQueryStatus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Occurs when the IDE requests the status of the action.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CheckAvailability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Checks the availability of this action in the current context.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Execute</w:t>
            </w:r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Occurs when this action is executed. Fired whenever the assigned shortcut is triggered or the representative menu item is chosen.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PositionMenuButton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Occurs when the menu button for this action is being positioned within its parent menu or toolbar. Handling this, allows precise positioning of the menu button.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QueryStatus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Occurs before an action is accessed (displayed).  This enables properties of this action to be set in the event handler before it reaches the user.</w:t>
            </w:r>
          </w:p>
        </w:tc>
      </w:tr>
      <w:tr w:rsidR="009D2A28" w:rsidRPr="009D2A28" w:rsidTr="009D2A28"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ShowHelp</w:t>
            </w:r>
            <w:proofErr w:type="spellEnd"/>
          </w:p>
        </w:tc>
        <w:tc>
          <w:tcPr>
            <w:tcW w:w="60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D2A28" w:rsidRPr="009D2A28" w:rsidRDefault="009D2A28" w:rsidP="009D2A2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A28">
              <w:rPr>
                <w:rFonts w:ascii="Times New Roman" w:eastAsia="Times New Roman" w:hAnsi="Times New Roman" w:cs="Times New Roman"/>
                <w:sz w:val="24"/>
                <w:szCs w:val="24"/>
              </w:rPr>
              <w:t>Occurs before this action is being executed to notify the user about the action.</w:t>
            </w:r>
          </w:p>
        </w:tc>
      </w:tr>
    </w:tbl>
    <w:p w:rsidR="009D2A28" w:rsidRPr="009D2A28" w:rsidRDefault="009D2A28" w:rsidP="009D2A2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See the “</w:t>
      </w:r>
      <w:hyperlink r:id="rId17" w:tgtFrame="_blank" w:tooltip="How to use Action DXCore control" w:history="1">
        <w:r w:rsidRPr="009D2A2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How to use Action </w:t>
        </w:r>
        <w:proofErr w:type="spellStart"/>
        <w:r w:rsidRPr="009D2A2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  <w:r w:rsidRPr="009D2A2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 control</w:t>
        </w:r>
      </w:hyperlink>
      <w:r w:rsidRPr="009D2A28">
        <w:rPr>
          <w:rFonts w:ascii="Verdana" w:eastAsia="Times New Roman" w:hAnsi="Verdana" w:cs="Times New Roman"/>
          <w:color w:val="555555"/>
          <w:sz w:val="21"/>
          <w:szCs w:val="21"/>
        </w:rPr>
        <w:t>” topic for learn more.</w:t>
      </w:r>
    </w:p>
    <w:p w:rsidR="00F942F1" w:rsidRDefault="00F942F1">
      <w:bookmarkStart w:id="0" w:name="_GoBack"/>
      <w:bookmarkEnd w:id="0"/>
    </w:p>
    <w:sectPr w:rsidR="00F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28"/>
    <w:rsid w:val="009D2A28"/>
    <w:rsid w:val="00F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47775-181B-4DEB-8290-46B4708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A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9D2A28"/>
  </w:style>
  <w:style w:type="paragraph" w:styleId="NormalWeb">
    <w:name w:val="Normal (Web)"/>
    <w:basedOn w:val="Normal"/>
    <w:uiPriority w:val="99"/>
    <w:semiHidden/>
    <w:unhideWhenUsed/>
    <w:rsid w:val="009D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A28"/>
    <w:rPr>
      <w:b/>
      <w:bCs/>
    </w:rPr>
  </w:style>
  <w:style w:type="character" w:customStyle="1" w:styleId="apple-converted-space">
    <w:name w:val="apple-converted-space"/>
    <w:basedOn w:val="DefaultParagraphFont"/>
    <w:rsid w:val="009D2A28"/>
  </w:style>
  <w:style w:type="character" w:styleId="Hyperlink">
    <w:name w:val="Hyperlink"/>
    <w:basedOn w:val="DefaultParagraphFont"/>
    <w:uiPriority w:val="99"/>
    <w:semiHidden/>
    <w:unhideWhenUsed/>
    <w:rsid w:val="009D2A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2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65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korkin.com/2010/09/how-to-programmatically-add-a-button-to-the-dxcore-visualize-toolbar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skorkin.com/2011/08/ide-tools-coderush-shortcuts-options-page/" TargetMode="External"/><Relationship Id="rId17" Type="http://schemas.openxmlformats.org/officeDocument/2006/relationships/hyperlink" Target="http://www.skorkin.com/2010/12/how-to-use-action-dxcore-contro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korkin.com/2010/08/ide-tools-user-guide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skorkin.com/2010/08/ide-tools-options-dialo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korkin.com/2011/08/ide-tools-coderush-shortcuts-options-page/" TargetMode="External"/><Relationship Id="rId10" Type="http://schemas.openxmlformats.org/officeDocument/2006/relationships/hyperlink" Target="http://www.skorkin.com/2011/08/ide-tools-coderush-shortcuts-options-pag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korkin.com/2010/11/dxcore-components-and-controls-list/" TargetMode="External"/><Relationship Id="rId9" Type="http://schemas.openxmlformats.org/officeDocument/2006/relationships/hyperlink" Target="http://www.skorkin.com/2010/08/ide-tools-options-dialog/" TargetMode="External"/><Relationship Id="rId14" Type="http://schemas.openxmlformats.org/officeDocument/2006/relationships/hyperlink" Target="http://www.skorkin.com/2010/08/ide-tools-what-happened-feature-ui-wind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Rhodes</dc:creator>
  <cp:keywords/>
  <dc:description/>
  <cp:lastModifiedBy>Christopher Rhodes</cp:lastModifiedBy>
  <cp:revision>1</cp:revision>
  <dcterms:created xsi:type="dcterms:W3CDTF">2016-12-21T05:11:00Z</dcterms:created>
  <dcterms:modified xsi:type="dcterms:W3CDTF">2016-12-21T05:11:00Z</dcterms:modified>
</cp:coreProperties>
</file>