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50660" w14:textId="0490EA35" w:rsidR="00DB6AFD" w:rsidRPr="0045775F" w:rsidRDefault="00CE64C0">
      <w:pPr>
        <w:rPr>
          <w:rFonts w:cstheme="minorHAnsi"/>
          <w:b/>
          <w:bCs/>
          <w:sz w:val="44"/>
          <w:szCs w:val="44"/>
        </w:rPr>
      </w:pPr>
      <w:r w:rsidRPr="0045775F">
        <w:rPr>
          <w:rFonts w:cstheme="minorHAnsi"/>
          <w:b/>
          <w:bCs/>
          <w:sz w:val="44"/>
          <w:szCs w:val="44"/>
        </w:rPr>
        <w:t>PHARMA</w:t>
      </w:r>
      <w:r w:rsidR="005C13F8" w:rsidRPr="0045775F">
        <w:rPr>
          <w:rFonts w:cstheme="minorHAnsi"/>
          <w:b/>
          <w:bCs/>
          <w:sz w:val="44"/>
          <w:szCs w:val="44"/>
        </w:rPr>
        <w:t>CEUTICAL</w:t>
      </w:r>
      <w:r w:rsidRPr="0045775F">
        <w:rPr>
          <w:rFonts w:cstheme="minorHAnsi"/>
          <w:b/>
          <w:bCs/>
          <w:sz w:val="44"/>
          <w:szCs w:val="44"/>
        </w:rPr>
        <w:t xml:space="preserve"> SALES ANALYSIS</w:t>
      </w:r>
    </w:p>
    <w:p w14:paraId="17C3A8AA" w14:textId="22DD67CB" w:rsidR="005C13F8" w:rsidRPr="0045775F" w:rsidRDefault="005C13F8" w:rsidP="005C13F8">
      <w:pPr>
        <w:rPr>
          <w:rFonts w:cstheme="minorHAnsi"/>
          <w:b/>
          <w:bCs/>
          <w:sz w:val="32"/>
          <w:szCs w:val="32"/>
        </w:rPr>
      </w:pPr>
      <w:r w:rsidRPr="0045775F">
        <w:rPr>
          <w:rFonts w:cstheme="minorHAnsi"/>
          <w:b/>
          <w:bCs/>
          <w:sz w:val="32"/>
          <w:szCs w:val="32"/>
        </w:rPr>
        <w:t>Sales Analysis – Foresight Pharmaceuticals</w:t>
      </w:r>
    </w:p>
    <w:p w14:paraId="6947DCE6" w14:textId="098404FA" w:rsidR="00B578DF" w:rsidRPr="0045775F" w:rsidRDefault="005C13F8" w:rsidP="005C13F8">
      <w:pPr>
        <w:rPr>
          <w:rFonts w:cstheme="minorHAnsi"/>
          <w:sz w:val="28"/>
          <w:szCs w:val="28"/>
        </w:rPr>
      </w:pPr>
      <w:r w:rsidRPr="0045775F">
        <w:rPr>
          <w:rFonts w:cstheme="minorHAnsi"/>
          <w:sz w:val="28"/>
          <w:szCs w:val="28"/>
        </w:rPr>
        <w:t xml:space="preserve">Foresight Pharmaceuticals is one of the world’s leading pharmaceutical companies, with a strong presence across multiple global regions. Rather than selling directly to end customers, the company operates through a network of carefully selected regional distributors. Each distributor is bound by agreements to share their sales data with Foresight, enabling the company to gather valuable insights into market performance, customer </w:t>
      </w:r>
      <w:proofErr w:type="spellStart"/>
      <w:r w:rsidRPr="0045775F">
        <w:rPr>
          <w:rFonts w:cstheme="minorHAnsi"/>
          <w:sz w:val="28"/>
          <w:szCs w:val="28"/>
        </w:rPr>
        <w:t>behavior</w:t>
      </w:r>
      <w:proofErr w:type="spellEnd"/>
      <w:r w:rsidRPr="0045775F">
        <w:rPr>
          <w:rFonts w:cstheme="minorHAnsi"/>
          <w:sz w:val="28"/>
          <w:szCs w:val="28"/>
        </w:rPr>
        <w:t>, and product demand. This sales data serves as a critical foundation for analysing market trends, optimizing product strategies, and supporting data-driven decision-making across the organization.</w:t>
      </w:r>
    </w:p>
    <w:p w14:paraId="1ABD8748" w14:textId="77777777" w:rsidR="00B578DF" w:rsidRPr="0045775F" w:rsidRDefault="00B578DF" w:rsidP="00B578DF">
      <w:pPr>
        <w:rPr>
          <w:rFonts w:cstheme="minorHAnsi"/>
          <w:b/>
          <w:bCs/>
          <w:sz w:val="28"/>
          <w:szCs w:val="28"/>
        </w:rPr>
      </w:pPr>
      <w:r w:rsidRPr="0045775F">
        <w:rPr>
          <w:rFonts w:cstheme="minorHAnsi"/>
          <w:b/>
          <w:bCs/>
          <w:sz w:val="28"/>
          <w:szCs w:val="28"/>
        </w:rPr>
        <w:t>Data Sourcing</w:t>
      </w:r>
    </w:p>
    <w:p w14:paraId="5E8B81F2" w14:textId="1DE8AEA9" w:rsidR="00B578DF" w:rsidRPr="0045775F" w:rsidRDefault="00B578DF" w:rsidP="005C13F8">
      <w:pPr>
        <w:rPr>
          <w:rFonts w:cstheme="minorHAnsi"/>
          <w:sz w:val="28"/>
          <w:szCs w:val="28"/>
        </w:rPr>
      </w:pPr>
      <w:r w:rsidRPr="0045775F">
        <w:rPr>
          <w:rFonts w:cstheme="minorHAnsi"/>
          <w:sz w:val="28"/>
          <w:szCs w:val="28"/>
        </w:rPr>
        <w:t>This dataset is a simulated datasets from real business data and published by Foresight BI &amp; Analytics Global Solutions (Foresight BI), which is a Business Intelligence and Data Analytics firm. The dataset was downloaded from </w:t>
      </w:r>
      <w:hyperlink r:id="rId5" w:history="1">
        <w:r w:rsidRPr="0045775F">
          <w:rPr>
            <w:rStyle w:val="Hyperlink"/>
            <w:rFonts w:cstheme="minorHAnsi"/>
            <w:sz w:val="28"/>
            <w:szCs w:val="28"/>
          </w:rPr>
          <w:t>Foresight BI website</w:t>
        </w:r>
      </w:hyperlink>
      <w:r w:rsidRPr="0045775F">
        <w:rPr>
          <w:rFonts w:cstheme="minorHAnsi"/>
          <w:sz w:val="28"/>
          <w:szCs w:val="28"/>
        </w:rPr>
        <w:t>.</w:t>
      </w:r>
    </w:p>
    <w:p w14:paraId="12DE2F9B" w14:textId="77777777" w:rsidR="00B578DF" w:rsidRPr="0045775F" w:rsidRDefault="00B578DF" w:rsidP="00B578DF">
      <w:pPr>
        <w:rPr>
          <w:rFonts w:cstheme="minorHAnsi"/>
          <w:b/>
          <w:bCs/>
          <w:sz w:val="28"/>
          <w:szCs w:val="28"/>
        </w:rPr>
      </w:pPr>
      <w:r w:rsidRPr="0045775F">
        <w:rPr>
          <w:rFonts w:cstheme="minorHAnsi"/>
          <w:b/>
          <w:bCs/>
          <w:sz w:val="28"/>
          <w:szCs w:val="28"/>
        </w:rPr>
        <w:t>Problem Statement</w:t>
      </w:r>
    </w:p>
    <w:p w14:paraId="70D51131" w14:textId="77777777" w:rsidR="00B578DF" w:rsidRPr="0045775F" w:rsidRDefault="00B578DF" w:rsidP="00B578DF">
      <w:pPr>
        <w:rPr>
          <w:rFonts w:cstheme="minorHAnsi"/>
          <w:sz w:val="28"/>
          <w:szCs w:val="28"/>
        </w:rPr>
      </w:pPr>
      <w:r w:rsidRPr="0045775F">
        <w:rPr>
          <w:rFonts w:cstheme="minorHAnsi"/>
          <w:sz w:val="28"/>
          <w:szCs w:val="28"/>
        </w:rPr>
        <w:t xml:space="preserve">The objective of this project is to extract actionable insights from the sales data of Foresight Pharmaceuticals to support strategic decision-making. The dataset used for this analysis comprises sales information from two key markets: </w:t>
      </w:r>
      <w:r w:rsidRPr="0045775F">
        <w:rPr>
          <w:rFonts w:cstheme="minorHAnsi"/>
          <w:b/>
          <w:bCs/>
          <w:sz w:val="28"/>
          <w:szCs w:val="28"/>
        </w:rPr>
        <w:t>Germany</w:t>
      </w:r>
      <w:r w:rsidRPr="0045775F">
        <w:rPr>
          <w:rFonts w:cstheme="minorHAnsi"/>
          <w:sz w:val="28"/>
          <w:szCs w:val="28"/>
        </w:rPr>
        <w:t xml:space="preserve"> and </w:t>
      </w:r>
      <w:r w:rsidRPr="0045775F">
        <w:rPr>
          <w:rFonts w:cstheme="minorHAnsi"/>
          <w:b/>
          <w:bCs/>
          <w:sz w:val="28"/>
          <w:szCs w:val="28"/>
        </w:rPr>
        <w:t>Poland</w:t>
      </w:r>
      <w:r w:rsidRPr="0045775F">
        <w:rPr>
          <w:rFonts w:cstheme="minorHAnsi"/>
          <w:sz w:val="28"/>
          <w:szCs w:val="28"/>
        </w:rPr>
        <w:t>.</w:t>
      </w:r>
    </w:p>
    <w:p w14:paraId="3901745F" w14:textId="77777777" w:rsidR="00B578DF" w:rsidRPr="0045775F" w:rsidRDefault="00B578DF" w:rsidP="00B578DF">
      <w:pPr>
        <w:rPr>
          <w:rFonts w:cstheme="minorHAnsi"/>
          <w:sz w:val="28"/>
          <w:szCs w:val="28"/>
        </w:rPr>
      </w:pPr>
      <w:r w:rsidRPr="0045775F">
        <w:rPr>
          <w:rFonts w:cstheme="minorHAnsi"/>
          <w:sz w:val="28"/>
          <w:szCs w:val="28"/>
        </w:rPr>
        <w:t>After conducting an initial review of the dataset, the analysis is structured around the following key questions:</w:t>
      </w:r>
    </w:p>
    <w:p w14:paraId="07DA25D3" w14:textId="6FB1C437" w:rsidR="00B578DF" w:rsidRPr="0045775F" w:rsidRDefault="00B578DF" w:rsidP="00B578DF">
      <w:pPr>
        <w:numPr>
          <w:ilvl w:val="0"/>
          <w:numId w:val="1"/>
        </w:numPr>
        <w:rPr>
          <w:rFonts w:cstheme="minorHAnsi"/>
          <w:sz w:val="28"/>
          <w:szCs w:val="28"/>
        </w:rPr>
      </w:pPr>
      <w:r w:rsidRPr="0045775F">
        <w:rPr>
          <w:rFonts w:cstheme="minorHAnsi"/>
          <w:b/>
          <w:bCs/>
          <w:sz w:val="28"/>
          <w:szCs w:val="28"/>
        </w:rPr>
        <w:t>Which market generated the highest sales?</w:t>
      </w:r>
    </w:p>
    <w:p w14:paraId="56E9C3CD" w14:textId="77777777" w:rsidR="00B578DF" w:rsidRPr="0045775F" w:rsidRDefault="00B578DF" w:rsidP="00B578DF">
      <w:pPr>
        <w:numPr>
          <w:ilvl w:val="0"/>
          <w:numId w:val="1"/>
        </w:numPr>
        <w:rPr>
          <w:rFonts w:cstheme="minorHAnsi"/>
          <w:sz w:val="28"/>
          <w:szCs w:val="28"/>
        </w:rPr>
      </w:pPr>
      <w:r w:rsidRPr="0045775F">
        <w:rPr>
          <w:rFonts w:cstheme="minorHAnsi"/>
          <w:b/>
          <w:bCs/>
          <w:sz w:val="28"/>
          <w:szCs w:val="28"/>
        </w:rPr>
        <w:t>Which products performed best and which underperformed across both markets?</w:t>
      </w:r>
    </w:p>
    <w:p w14:paraId="6109797F" w14:textId="77777777" w:rsidR="00B578DF" w:rsidRPr="0045775F" w:rsidRDefault="00B578DF" w:rsidP="00B578DF">
      <w:pPr>
        <w:numPr>
          <w:ilvl w:val="0"/>
          <w:numId w:val="1"/>
        </w:numPr>
        <w:rPr>
          <w:rFonts w:cstheme="minorHAnsi"/>
          <w:sz w:val="28"/>
          <w:szCs w:val="28"/>
        </w:rPr>
      </w:pPr>
      <w:r w:rsidRPr="0045775F">
        <w:rPr>
          <w:rFonts w:cstheme="minorHAnsi"/>
          <w:b/>
          <w:bCs/>
          <w:sz w:val="28"/>
          <w:szCs w:val="28"/>
        </w:rPr>
        <w:t>Which sales channels and subchannels contributed most significantly to overall sales?</w:t>
      </w:r>
    </w:p>
    <w:p w14:paraId="4386D7CD" w14:textId="77777777" w:rsidR="00B578DF" w:rsidRPr="0045775F" w:rsidRDefault="00B578DF" w:rsidP="00B578DF">
      <w:pPr>
        <w:numPr>
          <w:ilvl w:val="0"/>
          <w:numId w:val="1"/>
        </w:numPr>
        <w:rPr>
          <w:rFonts w:cstheme="minorHAnsi"/>
          <w:sz w:val="28"/>
          <w:szCs w:val="28"/>
        </w:rPr>
      </w:pPr>
      <w:r w:rsidRPr="0045775F">
        <w:rPr>
          <w:rFonts w:cstheme="minorHAnsi"/>
          <w:b/>
          <w:bCs/>
          <w:sz w:val="28"/>
          <w:szCs w:val="28"/>
        </w:rPr>
        <w:t>How did sales change year-over-year by channel?</w:t>
      </w:r>
    </w:p>
    <w:p w14:paraId="2711A512" w14:textId="77777777" w:rsidR="00B578DF" w:rsidRPr="0045775F" w:rsidRDefault="00B578DF" w:rsidP="00B578DF">
      <w:pPr>
        <w:rPr>
          <w:rFonts w:cstheme="minorHAnsi"/>
          <w:sz w:val="28"/>
          <w:szCs w:val="28"/>
        </w:rPr>
      </w:pPr>
      <w:r w:rsidRPr="0045775F">
        <w:rPr>
          <w:rFonts w:cstheme="minorHAnsi"/>
          <w:sz w:val="28"/>
          <w:szCs w:val="28"/>
        </w:rPr>
        <w:lastRenderedPageBreak/>
        <w:t>By answering these questions, the analysis aims to help Foresight Pharmaceuticals better understand regional market dynamics, product performance, and the effectiveness of its distribution channels.</w:t>
      </w:r>
    </w:p>
    <w:p w14:paraId="73C1C5DA" w14:textId="77777777" w:rsidR="00B578DF" w:rsidRPr="0045775F" w:rsidRDefault="00B578DF" w:rsidP="00B578DF">
      <w:pPr>
        <w:rPr>
          <w:rFonts w:cstheme="minorHAnsi"/>
          <w:b/>
          <w:bCs/>
          <w:sz w:val="28"/>
          <w:szCs w:val="28"/>
        </w:rPr>
      </w:pPr>
      <w:r w:rsidRPr="0045775F">
        <w:rPr>
          <w:rFonts w:cstheme="minorHAnsi"/>
          <w:b/>
          <w:bCs/>
          <w:sz w:val="28"/>
          <w:szCs w:val="28"/>
        </w:rPr>
        <w:t>Data Transformation</w:t>
      </w:r>
    </w:p>
    <w:p w14:paraId="6BD02ED5" w14:textId="77777777" w:rsidR="00B578DF" w:rsidRPr="0045775F" w:rsidRDefault="00B578DF" w:rsidP="00B578DF">
      <w:pPr>
        <w:rPr>
          <w:rFonts w:cstheme="minorHAnsi"/>
          <w:sz w:val="28"/>
          <w:szCs w:val="28"/>
        </w:rPr>
      </w:pPr>
      <w:r w:rsidRPr="0045775F">
        <w:rPr>
          <w:rFonts w:cstheme="minorHAnsi"/>
          <w:sz w:val="28"/>
          <w:szCs w:val="28"/>
        </w:rPr>
        <w:t xml:space="preserve">Data transformation and cleaning were performed using </w:t>
      </w:r>
      <w:r w:rsidRPr="0045775F">
        <w:rPr>
          <w:rFonts w:cstheme="minorHAnsi"/>
          <w:b/>
          <w:bCs/>
          <w:sz w:val="28"/>
          <w:szCs w:val="28"/>
        </w:rPr>
        <w:t>Power Query Editor</w:t>
      </w:r>
      <w:r w:rsidRPr="0045775F">
        <w:rPr>
          <w:rFonts w:cstheme="minorHAnsi"/>
          <w:sz w:val="28"/>
          <w:szCs w:val="28"/>
        </w:rPr>
        <w:t xml:space="preserve"> in </w:t>
      </w:r>
      <w:r w:rsidRPr="0045775F">
        <w:rPr>
          <w:rFonts w:cstheme="minorHAnsi"/>
          <w:b/>
          <w:bCs/>
          <w:sz w:val="28"/>
          <w:szCs w:val="28"/>
        </w:rPr>
        <w:t>Microsoft Excel</w:t>
      </w:r>
      <w:r w:rsidRPr="0045775F">
        <w:rPr>
          <w:rFonts w:cstheme="minorHAnsi"/>
          <w:sz w:val="28"/>
          <w:szCs w:val="28"/>
        </w:rPr>
        <w:t xml:space="preserve"> to prepare the dataset for analysis. The following steps were taken:</w:t>
      </w:r>
    </w:p>
    <w:p w14:paraId="2CA19E49" w14:textId="77777777" w:rsidR="00B578DF" w:rsidRPr="0045775F" w:rsidRDefault="00B578DF" w:rsidP="00B578DF">
      <w:pPr>
        <w:numPr>
          <w:ilvl w:val="0"/>
          <w:numId w:val="2"/>
        </w:numPr>
        <w:rPr>
          <w:rFonts w:cstheme="minorHAnsi"/>
          <w:sz w:val="28"/>
          <w:szCs w:val="28"/>
        </w:rPr>
      </w:pPr>
      <w:r w:rsidRPr="0045775F">
        <w:rPr>
          <w:rFonts w:cstheme="minorHAnsi"/>
          <w:b/>
          <w:bCs/>
          <w:sz w:val="28"/>
          <w:szCs w:val="28"/>
        </w:rPr>
        <w:t>Promoted Headers</w:t>
      </w:r>
      <w:r w:rsidRPr="0045775F">
        <w:rPr>
          <w:rFonts w:cstheme="minorHAnsi"/>
          <w:sz w:val="28"/>
          <w:szCs w:val="28"/>
        </w:rPr>
        <w:t>: The first row of the dataset was promoted to serve as column headers using the “Use First Row as Headers” feature.</w:t>
      </w:r>
    </w:p>
    <w:p w14:paraId="4F422891" w14:textId="77777777" w:rsidR="00B578DF" w:rsidRPr="0045775F" w:rsidRDefault="00B578DF" w:rsidP="00B578DF">
      <w:pPr>
        <w:numPr>
          <w:ilvl w:val="0"/>
          <w:numId w:val="2"/>
        </w:numPr>
        <w:rPr>
          <w:rFonts w:cstheme="minorHAnsi"/>
          <w:sz w:val="28"/>
          <w:szCs w:val="28"/>
        </w:rPr>
      </w:pPr>
      <w:r w:rsidRPr="0045775F">
        <w:rPr>
          <w:rFonts w:cstheme="minorHAnsi"/>
          <w:b/>
          <w:bCs/>
          <w:sz w:val="28"/>
          <w:szCs w:val="28"/>
        </w:rPr>
        <w:t>Validated Data Types</w:t>
      </w:r>
      <w:r w:rsidRPr="0045775F">
        <w:rPr>
          <w:rFonts w:cstheme="minorHAnsi"/>
          <w:sz w:val="28"/>
          <w:szCs w:val="28"/>
        </w:rPr>
        <w:t>: Each column's data type was carefully reviewed and appropriately set to ensure consistency and accuracy in analysis (e.g., dates, numbers, text).</w:t>
      </w:r>
    </w:p>
    <w:p w14:paraId="02896C7C" w14:textId="77777777" w:rsidR="00B578DF" w:rsidRPr="0045775F" w:rsidRDefault="00B578DF" w:rsidP="00B578DF">
      <w:pPr>
        <w:rPr>
          <w:rFonts w:cstheme="minorHAnsi"/>
          <w:sz w:val="28"/>
          <w:szCs w:val="28"/>
        </w:rPr>
      </w:pPr>
      <w:r w:rsidRPr="0045775F">
        <w:rPr>
          <w:rFonts w:cstheme="minorHAnsi"/>
          <w:sz w:val="28"/>
          <w:szCs w:val="28"/>
        </w:rPr>
        <w:t>These transformations ensured that the data was clean, structured, and ready for meaningful exploration and insights.</w:t>
      </w:r>
    </w:p>
    <w:p w14:paraId="1D8A83EC" w14:textId="792EA25D" w:rsidR="00C60765" w:rsidRPr="0045775F" w:rsidRDefault="000957FC" w:rsidP="00B578DF">
      <w:pPr>
        <w:rPr>
          <w:rFonts w:cstheme="minorHAnsi"/>
          <w:sz w:val="28"/>
          <w:szCs w:val="28"/>
        </w:rPr>
      </w:pPr>
      <w:r w:rsidRPr="0045775F">
        <w:rPr>
          <w:rFonts w:cstheme="minorHAnsi"/>
          <w:sz w:val="28"/>
          <w:szCs w:val="28"/>
        </w:rPr>
        <w:t xml:space="preserve">Pivot tables were created to efficiently </w:t>
      </w:r>
      <w:r w:rsidRPr="0045775F">
        <w:rPr>
          <w:rFonts w:cstheme="minorHAnsi"/>
          <w:b/>
          <w:bCs/>
          <w:sz w:val="28"/>
          <w:szCs w:val="28"/>
        </w:rPr>
        <w:t xml:space="preserve">summarize, </w:t>
      </w:r>
      <w:proofErr w:type="spellStart"/>
      <w:r w:rsidRPr="0045775F">
        <w:rPr>
          <w:rFonts w:cstheme="minorHAnsi"/>
          <w:b/>
          <w:bCs/>
          <w:sz w:val="28"/>
          <w:szCs w:val="28"/>
        </w:rPr>
        <w:t>analyze</w:t>
      </w:r>
      <w:proofErr w:type="spellEnd"/>
      <w:r w:rsidRPr="0045775F">
        <w:rPr>
          <w:rFonts w:cstheme="minorHAnsi"/>
          <w:b/>
          <w:bCs/>
          <w:sz w:val="28"/>
          <w:szCs w:val="28"/>
        </w:rPr>
        <w:t>, and interpret</w:t>
      </w:r>
      <w:r w:rsidRPr="0045775F">
        <w:rPr>
          <w:rFonts w:cstheme="minorHAnsi"/>
          <w:sz w:val="28"/>
          <w:szCs w:val="28"/>
        </w:rPr>
        <w:t xml:space="preserve"> the sales data. They allow dynamic grouping and aggregation of large datasets, enabling data-driven insights across different dimensions such as product, region, sales representatives, and time.</w:t>
      </w:r>
    </w:p>
    <w:p w14:paraId="70951953" w14:textId="77777777" w:rsidR="00B578DF" w:rsidRPr="0045775F" w:rsidRDefault="00B578DF" w:rsidP="00B578DF">
      <w:pPr>
        <w:rPr>
          <w:rFonts w:cstheme="minorHAnsi"/>
          <w:b/>
          <w:bCs/>
          <w:sz w:val="28"/>
          <w:szCs w:val="28"/>
        </w:rPr>
      </w:pPr>
      <w:r w:rsidRPr="0045775F">
        <w:rPr>
          <w:rFonts w:cstheme="minorHAnsi"/>
          <w:b/>
          <w:bCs/>
          <w:sz w:val="28"/>
          <w:szCs w:val="28"/>
        </w:rPr>
        <w:t>Dashboard Development</w:t>
      </w:r>
    </w:p>
    <w:p w14:paraId="22F9867B" w14:textId="77777777" w:rsidR="00B578DF" w:rsidRPr="0045775F" w:rsidRDefault="00B578DF" w:rsidP="00B578DF">
      <w:pPr>
        <w:rPr>
          <w:rFonts w:cstheme="minorHAnsi"/>
          <w:sz w:val="28"/>
          <w:szCs w:val="28"/>
        </w:rPr>
      </w:pPr>
      <w:r w:rsidRPr="0045775F">
        <w:rPr>
          <w:rFonts w:cstheme="minorHAnsi"/>
          <w:sz w:val="28"/>
          <w:szCs w:val="28"/>
        </w:rPr>
        <w:t xml:space="preserve">Following the completion of the data analysis, a </w:t>
      </w:r>
      <w:r w:rsidRPr="0045775F">
        <w:rPr>
          <w:rFonts w:cstheme="minorHAnsi"/>
          <w:b/>
          <w:bCs/>
          <w:sz w:val="28"/>
          <w:szCs w:val="28"/>
        </w:rPr>
        <w:t>sales dashboard</w:t>
      </w:r>
      <w:r w:rsidRPr="0045775F">
        <w:rPr>
          <w:rFonts w:cstheme="minorHAnsi"/>
          <w:sz w:val="28"/>
          <w:szCs w:val="28"/>
        </w:rPr>
        <w:t xml:space="preserve"> was developed to visually represent key insights and performance metrics. The dashboard was designed to be interactive, user-friendly, and focused on the most relevant indicators for Foresight Pharmaceuticals, enabling quick and effective decision-making.</w:t>
      </w:r>
    </w:p>
    <w:p w14:paraId="59A8E3F0" w14:textId="77777777" w:rsidR="00B578DF" w:rsidRPr="0045775F" w:rsidRDefault="00B578DF" w:rsidP="00B578DF">
      <w:pPr>
        <w:rPr>
          <w:rFonts w:cstheme="minorHAnsi"/>
          <w:sz w:val="28"/>
          <w:szCs w:val="28"/>
        </w:rPr>
      </w:pPr>
      <w:r w:rsidRPr="0045775F">
        <w:rPr>
          <w:rFonts w:cstheme="minorHAnsi"/>
          <w:sz w:val="28"/>
          <w:szCs w:val="28"/>
        </w:rPr>
        <w:t>Key features of the dashboard include:</w:t>
      </w:r>
    </w:p>
    <w:p w14:paraId="3F3D646D" w14:textId="77777777" w:rsidR="00B578DF" w:rsidRPr="0045775F" w:rsidRDefault="00B578DF" w:rsidP="00B578DF">
      <w:pPr>
        <w:numPr>
          <w:ilvl w:val="0"/>
          <w:numId w:val="3"/>
        </w:numPr>
        <w:rPr>
          <w:rFonts w:cstheme="minorHAnsi"/>
          <w:sz w:val="28"/>
          <w:szCs w:val="28"/>
        </w:rPr>
      </w:pPr>
      <w:r w:rsidRPr="0045775F">
        <w:rPr>
          <w:rFonts w:cstheme="minorHAnsi"/>
          <w:b/>
          <w:bCs/>
          <w:sz w:val="28"/>
          <w:szCs w:val="28"/>
        </w:rPr>
        <w:t>Market Comparison</w:t>
      </w:r>
      <w:r w:rsidRPr="0045775F">
        <w:rPr>
          <w:rFonts w:cstheme="minorHAnsi"/>
          <w:sz w:val="28"/>
          <w:szCs w:val="28"/>
        </w:rPr>
        <w:t>: Visuals comparing total sales between Germany and Poland</w:t>
      </w:r>
    </w:p>
    <w:p w14:paraId="31427534" w14:textId="77777777" w:rsidR="00B578DF" w:rsidRPr="0045775F" w:rsidRDefault="00B578DF" w:rsidP="00B578DF">
      <w:pPr>
        <w:numPr>
          <w:ilvl w:val="0"/>
          <w:numId w:val="3"/>
        </w:numPr>
        <w:rPr>
          <w:rFonts w:cstheme="minorHAnsi"/>
          <w:sz w:val="28"/>
          <w:szCs w:val="28"/>
        </w:rPr>
      </w:pPr>
      <w:r w:rsidRPr="0045775F">
        <w:rPr>
          <w:rFonts w:cstheme="minorHAnsi"/>
          <w:b/>
          <w:bCs/>
          <w:sz w:val="28"/>
          <w:szCs w:val="28"/>
        </w:rPr>
        <w:t>Product Performance</w:t>
      </w:r>
      <w:r w:rsidRPr="0045775F">
        <w:rPr>
          <w:rFonts w:cstheme="minorHAnsi"/>
          <w:sz w:val="28"/>
          <w:szCs w:val="28"/>
        </w:rPr>
        <w:t>: Identification of top-performing and underperforming products</w:t>
      </w:r>
    </w:p>
    <w:p w14:paraId="5D9709EE" w14:textId="77777777" w:rsidR="00B578DF" w:rsidRPr="0045775F" w:rsidRDefault="00B578DF" w:rsidP="00B578DF">
      <w:pPr>
        <w:numPr>
          <w:ilvl w:val="0"/>
          <w:numId w:val="3"/>
        </w:numPr>
        <w:rPr>
          <w:rFonts w:cstheme="minorHAnsi"/>
          <w:sz w:val="28"/>
          <w:szCs w:val="28"/>
        </w:rPr>
      </w:pPr>
      <w:r w:rsidRPr="0045775F">
        <w:rPr>
          <w:rFonts w:cstheme="minorHAnsi"/>
          <w:b/>
          <w:bCs/>
          <w:sz w:val="28"/>
          <w:szCs w:val="28"/>
        </w:rPr>
        <w:t>Channel Analysis</w:t>
      </w:r>
      <w:r w:rsidRPr="0045775F">
        <w:rPr>
          <w:rFonts w:cstheme="minorHAnsi"/>
          <w:sz w:val="28"/>
          <w:szCs w:val="28"/>
        </w:rPr>
        <w:t>: Sales breakdown by channel and subchannel</w:t>
      </w:r>
    </w:p>
    <w:p w14:paraId="3BF76B9C" w14:textId="77777777" w:rsidR="0010159F" w:rsidRPr="0045775F" w:rsidRDefault="00B578DF" w:rsidP="0010159F">
      <w:pPr>
        <w:numPr>
          <w:ilvl w:val="0"/>
          <w:numId w:val="3"/>
        </w:numPr>
        <w:rPr>
          <w:rFonts w:cstheme="minorHAnsi"/>
          <w:sz w:val="28"/>
          <w:szCs w:val="28"/>
        </w:rPr>
      </w:pPr>
      <w:r w:rsidRPr="0045775F">
        <w:rPr>
          <w:rFonts w:cstheme="minorHAnsi"/>
          <w:b/>
          <w:bCs/>
          <w:sz w:val="28"/>
          <w:szCs w:val="28"/>
        </w:rPr>
        <w:t>Year-over-Year Trends</w:t>
      </w:r>
      <w:r w:rsidRPr="0045775F">
        <w:rPr>
          <w:rFonts w:cstheme="minorHAnsi"/>
          <w:sz w:val="28"/>
          <w:szCs w:val="28"/>
        </w:rPr>
        <w:t>: Visual representation of sales growth or decline by channel</w:t>
      </w:r>
    </w:p>
    <w:p w14:paraId="7ED4EB63" w14:textId="3F5F0960" w:rsidR="0010159F" w:rsidRPr="0010159F" w:rsidRDefault="0010159F" w:rsidP="0010159F">
      <w:pPr>
        <w:numPr>
          <w:ilvl w:val="0"/>
          <w:numId w:val="3"/>
        </w:numPr>
        <w:rPr>
          <w:rFonts w:cstheme="minorHAnsi"/>
          <w:sz w:val="28"/>
          <w:szCs w:val="28"/>
        </w:rPr>
      </w:pPr>
      <w:r w:rsidRPr="0010159F">
        <w:rPr>
          <w:rFonts w:cstheme="minorHAnsi"/>
          <w:b/>
          <w:bCs/>
          <w:sz w:val="28"/>
          <w:szCs w:val="28"/>
        </w:rPr>
        <w:lastRenderedPageBreak/>
        <w:t>Key Insights:</w:t>
      </w:r>
    </w:p>
    <w:p w14:paraId="4957340B" w14:textId="77777777" w:rsidR="0010159F" w:rsidRPr="0010159F" w:rsidRDefault="0010159F" w:rsidP="0010159F">
      <w:pPr>
        <w:numPr>
          <w:ilvl w:val="0"/>
          <w:numId w:val="4"/>
        </w:numPr>
        <w:rPr>
          <w:rFonts w:cstheme="minorHAnsi"/>
          <w:sz w:val="28"/>
          <w:szCs w:val="28"/>
        </w:rPr>
      </w:pPr>
      <w:r w:rsidRPr="0010159F">
        <w:rPr>
          <w:rFonts w:cstheme="minorHAnsi"/>
          <w:b/>
          <w:bCs/>
          <w:sz w:val="28"/>
          <w:szCs w:val="28"/>
        </w:rPr>
        <w:t>Sales Distribution Between Countries</w:t>
      </w:r>
      <w:r w:rsidRPr="0010159F">
        <w:rPr>
          <w:rFonts w:cstheme="minorHAnsi"/>
          <w:sz w:val="28"/>
          <w:szCs w:val="28"/>
        </w:rPr>
        <w:t>:</w:t>
      </w:r>
    </w:p>
    <w:p w14:paraId="3174663C" w14:textId="2758E819" w:rsidR="0010159F" w:rsidRPr="0010159F" w:rsidRDefault="0010159F" w:rsidP="0010159F">
      <w:pPr>
        <w:numPr>
          <w:ilvl w:val="1"/>
          <w:numId w:val="4"/>
        </w:numPr>
        <w:rPr>
          <w:rFonts w:cstheme="minorHAnsi"/>
          <w:sz w:val="28"/>
          <w:szCs w:val="28"/>
        </w:rPr>
      </w:pPr>
      <w:r w:rsidRPr="0010159F">
        <w:rPr>
          <w:rFonts w:cstheme="minorHAnsi"/>
          <w:b/>
          <w:bCs/>
          <w:sz w:val="28"/>
          <w:szCs w:val="28"/>
        </w:rPr>
        <w:t>Poland</w:t>
      </w:r>
      <w:r w:rsidRPr="0010159F">
        <w:rPr>
          <w:rFonts w:cstheme="minorHAnsi"/>
          <w:sz w:val="28"/>
          <w:szCs w:val="28"/>
        </w:rPr>
        <w:t>: No sales in 2017, 2019, and 2020 significantly impacted the total sales in Poland, which accounted for only 5.77% of overall sales. The absence of sales in certain years suggests potential logistical issues, possibly related to distribution challenges</w:t>
      </w:r>
      <w:r w:rsidRPr="0045775F">
        <w:rPr>
          <w:rFonts w:cstheme="minorHAnsi"/>
          <w:sz w:val="28"/>
          <w:szCs w:val="28"/>
        </w:rPr>
        <w:t>.</w:t>
      </w:r>
    </w:p>
    <w:p w14:paraId="5982D646" w14:textId="4E92482E" w:rsidR="0010159F" w:rsidRPr="0010159F" w:rsidRDefault="0010159F" w:rsidP="0010159F">
      <w:pPr>
        <w:numPr>
          <w:ilvl w:val="1"/>
          <w:numId w:val="4"/>
        </w:numPr>
        <w:rPr>
          <w:rFonts w:cstheme="minorHAnsi"/>
          <w:sz w:val="28"/>
          <w:szCs w:val="28"/>
        </w:rPr>
      </w:pPr>
      <w:r w:rsidRPr="0010159F">
        <w:rPr>
          <w:rFonts w:cstheme="minorHAnsi"/>
          <w:b/>
          <w:bCs/>
          <w:sz w:val="28"/>
          <w:szCs w:val="28"/>
        </w:rPr>
        <w:t>Germany</w:t>
      </w:r>
      <w:r w:rsidRPr="0010159F">
        <w:rPr>
          <w:rFonts w:cstheme="minorHAnsi"/>
          <w:sz w:val="28"/>
          <w:szCs w:val="28"/>
        </w:rPr>
        <w:t>: With 94.23% of total sales, Germany is the dominant market</w:t>
      </w:r>
      <w:r w:rsidRPr="0045775F">
        <w:rPr>
          <w:rFonts w:cstheme="minorHAnsi"/>
          <w:sz w:val="28"/>
          <w:szCs w:val="28"/>
        </w:rPr>
        <w:t>.</w:t>
      </w:r>
    </w:p>
    <w:p w14:paraId="0B632A67" w14:textId="77777777" w:rsidR="0010159F" w:rsidRPr="0010159F" w:rsidRDefault="0010159F" w:rsidP="0010159F">
      <w:pPr>
        <w:numPr>
          <w:ilvl w:val="0"/>
          <w:numId w:val="4"/>
        </w:numPr>
        <w:rPr>
          <w:rFonts w:cstheme="minorHAnsi"/>
          <w:sz w:val="28"/>
          <w:szCs w:val="28"/>
        </w:rPr>
      </w:pPr>
      <w:r w:rsidRPr="0010159F">
        <w:rPr>
          <w:rFonts w:cstheme="minorHAnsi"/>
          <w:b/>
          <w:bCs/>
          <w:sz w:val="28"/>
          <w:szCs w:val="28"/>
        </w:rPr>
        <w:t>Top and Bottom Products</w:t>
      </w:r>
      <w:r w:rsidRPr="0010159F">
        <w:rPr>
          <w:rFonts w:cstheme="minorHAnsi"/>
          <w:sz w:val="28"/>
          <w:szCs w:val="28"/>
        </w:rPr>
        <w:t>:</w:t>
      </w:r>
    </w:p>
    <w:p w14:paraId="765E6544" w14:textId="77777777" w:rsidR="0010159F" w:rsidRPr="0010159F" w:rsidRDefault="0010159F" w:rsidP="0010159F">
      <w:pPr>
        <w:numPr>
          <w:ilvl w:val="1"/>
          <w:numId w:val="4"/>
        </w:numPr>
        <w:rPr>
          <w:rFonts w:cstheme="minorHAnsi"/>
          <w:sz w:val="28"/>
          <w:szCs w:val="28"/>
        </w:rPr>
      </w:pPr>
      <w:r w:rsidRPr="0010159F">
        <w:rPr>
          <w:rFonts w:cstheme="minorHAnsi"/>
          <w:b/>
          <w:bCs/>
          <w:sz w:val="28"/>
          <w:szCs w:val="28"/>
        </w:rPr>
        <w:t>Top 10 Products</w:t>
      </w:r>
      <w:r w:rsidRPr="0010159F">
        <w:rPr>
          <w:rFonts w:cstheme="minorHAnsi"/>
          <w:sz w:val="28"/>
          <w:szCs w:val="28"/>
        </w:rPr>
        <w:t>: All from Germany, indicating that the most successful products are concentrated in the German market. This could point to strong demand in Germany for those specific products, possibly due to local preferences, better marketing, or stronger distribution.</w:t>
      </w:r>
    </w:p>
    <w:p w14:paraId="1E5FD638" w14:textId="6055E0B5" w:rsidR="0010159F" w:rsidRPr="0010159F" w:rsidRDefault="0010159F" w:rsidP="0010159F">
      <w:pPr>
        <w:numPr>
          <w:ilvl w:val="1"/>
          <w:numId w:val="4"/>
        </w:numPr>
        <w:rPr>
          <w:rFonts w:cstheme="minorHAnsi"/>
          <w:sz w:val="28"/>
          <w:szCs w:val="28"/>
        </w:rPr>
      </w:pPr>
      <w:r w:rsidRPr="0010159F">
        <w:rPr>
          <w:rFonts w:cstheme="minorHAnsi"/>
          <w:b/>
          <w:bCs/>
          <w:sz w:val="28"/>
          <w:szCs w:val="28"/>
        </w:rPr>
        <w:t>Bottom 10 Products</w:t>
      </w:r>
      <w:r w:rsidRPr="0010159F">
        <w:rPr>
          <w:rFonts w:cstheme="minorHAnsi"/>
          <w:sz w:val="28"/>
          <w:szCs w:val="28"/>
        </w:rPr>
        <w:t xml:space="preserve">: All from Poland, which suggests that these products either weren't well-received or had issues in distribution or availability. </w:t>
      </w:r>
    </w:p>
    <w:p w14:paraId="5DA9E734" w14:textId="77777777" w:rsidR="0010159F" w:rsidRPr="0010159F" w:rsidRDefault="0010159F" w:rsidP="0010159F">
      <w:pPr>
        <w:numPr>
          <w:ilvl w:val="0"/>
          <w:numId w:val="4"/>
        </w:numPr>
        <w:rPr>
          <w:rFonts w:cstheme="minorHAnsi"/>
          <w:sz w:val="28"/>
          <w:szCs w:val="28"/>
        </w:rPr>
      </w:pPr>
      <w:r w:rsidRPr="0010159F">
        <w:rPr>
          <w:rFonts w:cstheme="minorHAnsi"/>
          <w:b/>
          <w:bCs/>
          <w:sz w:val="28"/>
          <w:szCs w:val="28"/>
        </w:rPr>
        <w:t>Channel of Distribution</w:t>
      </w:r>
      <w:r w:rsidRPr="0010159F">
        <w:rPr>
          <w:rFonts w:cstheme="minorHAnsi"/>
          <w:sz w:val="28"/>
          <w:szCs w:val="28"/>
        </w:rPr>
        <w:t>:</w:t>
      </w:r>
    </w:p>
    <w:p w14:paraId="5A178CF5" w14:textId="2CA4FC71" w:rsidR="0010159F" w:rsidRPr="0010159F" w:rsidRDefault="0010159F" w:rsidP="0010159F">
      <w:pPr>
        <w:numPr>
          <w:ilvl w:val="1"/>
          <w:numId w:val="4"/>
        </w:numPr>
        <w:rPr>
          <w:rFonts w:cstheme="minorHAnsi"/>
          <w:sz w:val="28"/>
          <w:szCs w:val="28"/>
        </w:rPr>
      </w:pPr>
      <w:r w:rsidRPr="0010159F">
        <w:rPr>
          <w:rFonts w:cstheme="minorHAnsi"/>
          <w:b/>
          <w:bCs/>
          <w:sz w:val="28"/>
          <w:szCs w:val="28"/>
        </w:rPr>
        <w:t>Pharmacy Channel</w:t>
      </w:r>
      <w:r w:rsidRPr="0010159F">
        <w:rPr>
          <w:rFonts w:cstheme="minorHAnsi"/>
          <w:sz w:val="28"/>
          <w:szCs w:val="28"/>
        </w:rPr>
        <w:t xml:space="preserve">: Accounted for the largest share of total sales at </w:t>
      </w:r>
      <w:r w:rsidR="00ED6040">
        <w:rPr>
          <w:rFonts w:cstheme="minorHAnsi"/>
          <w:sz w:val="28"/>
          <w:szCs w:val="28"/>
        </w:rPr>
        <w:t>52.70</w:t>
      </w:r>
      <w:r w:rsidRPr="0010159F">
        <w:rPr>
          <w:rFonts w:cstheme="minorHAnsi"/>
          <w:sz w:val="28"/>
          <w:szCs w:val="28"/>
        </w:rPr>
        <w:t>%. This could indicate a strong demand for pharmaceutical products in pharmacies, and perhaps greater consumer access in these outlets.</w:t>
      </w:r>
    </w:p>
    <w:p w14:paraId="7155A5AE" w14:textId="7405C47D" w:rsidR="0010159F" w:rsidRPr="0010159F" w:rsidRDefault="0010159F" w:rsidP="00F04325">
      <w:pPr>
        <w:numPr>
          <w:ilvl w:val="1"/>
          <w:numId w:val="4"/>
        </w:numPr>
        <w:rPr>
          <w:rFonts w:cstheme="minorHAnsi"/>
          <w:sz w:val="28"/>
          <w:szCs w:val="28"/>
        </w:rPr>
      </w:pPr>
      <w:r w:rsidRPr="0010159F">
        <w:rPr>
          <w:rFonts w:cstheme="minorHAnsi"/>
          <w:b/>
          <w:bCs/>
          <w:sz w:val="28"/>
          <w:szCs w:val="28"/>
        </w:rPr>
        <w:t>Retail Subchannel</w:t>
      </w:r>
      <w:r w:rsidRPr="0010159F">
        <w:rPr>
          <w:rFonts w:cstheme="minorHAnsi"/>
          <w:sz w:val="28"/>
          <w:szCs w:val="28"/>
        </w:rPr>
        <w:t xml:space="preserve">: </w:t>
      </w:r>
      <w:r w:rsidR="00876B52" w:rsidRPr="00876B52">
        <w:rPr>
          <w:rFonts w:cstheme="minorHAnsi"/>
          <w:sz w:val="28"/>
          <w:szCs w:val="28"/>
        </w:rPr>
        <w:t> More sales were made via retail subchannel with about </w:t>
      </w:r>
      <w:r w:rsidR="00876B52" w:rsidRPr="00876B52">
        <w:rPr>
          <w:rFonts w:cstheme="minorHAnsi"/>
          <w:b/>
          <w:bCs/>
          <w:sz w:val="28"/>
          <w:szCs w:val="28"/>
        </w:rPr>
        <w:t>4%</w:t>
      </w:r>
      <w:r w:rsidR="00876B52" w:rsidRPr="00876B52">
        <w:rPr>
          <w:rFonts w:cstheme="minorHAnsi"/>
          <w:sz w:val="28"/>
          <w:szCs w:val="28"/>
        </w:rPr>
        <w:t> in sales ahead of institution</w:t>
      </w:r>
      <w:r w:rsidR="00876B52">
        <w:rPr>
          <w:rFonts w:cstheme="minorHAnsi"/>
          <w:sz w:val="28"/>
          <w:szCs w:val="28"/>
        </w:rPr>
        <w:t xml:space="preserve"> which shows that t</w:t>
      </w:r>
      <w:r w:rsidR="00ED6040">
        <w:rPr>
          <w:rFonts w:cstheme="minorHAnsi"/>
          <w:sz w:val="28"/>
          <w:szCs w:val="28"/>
        </w:rPr>
        <w:t>here</w:t>
      </w:r>
      <w:r w:rsidRPr="0010159F">
        <w:rPr>
          <w:rFonts w:cstheme="minorHAnsi"/>
          <w:sz w:val="28"/>
          <w:szCs w:val="28"/>
        </w:rPr>
        <w:t xml:space="preserve"> is a smaller but still significant share of sales coming from retail channels</w:t>
      </w:r>
      <w:r w:rsidR="005E332F">
        <w:rPr>
          <w:rFonts w:cstheme="minorHAnsi"/>
          <w:sz w:val="28"/>
          <w:szCs w:val="28"/>
        </w:rPr>
        <w:t>.</w:t>
      </w:r>
    </w:p>
    <w:p w14:paraId="7DC1FECA" w14:textId="472B7649" w:rsidR="0010159F" w:rsidRPr="0010159F" w:rsidRDefault="00082299" w:rsidP="0010159F">
      <w:pPr>
        <w:ind w:left="720"/>
        <w:rPr>
          <w:rFonts w:cstheme="minorHAnsi"/>
          <w:b/>
          <w:bCs/>
          <w:sz w:val="28"/>
          <w:szCs w:val="28"/>
        </w:rPr>
      </w:pPr>
      <w:r w:rsidRPr="0045775F">
        <w:rPr>
          <w:rFonts w:cstheme="minorHAnsi"/>
          <w:b/>
          <w:bCs/>
          <w:sz w:val="28"/>
          <w:szCs w:val="28"/>
        </w:rPr>
        <w:t>Recommendations</w:t>
      </w:r>
      <w:r w:rsidR="0010159F" w:rsidRPr="0010159F">
        <w:rPr>
          <w:rFonts w:cstheme="minorHAnsi"/>
          <w:b/>
          <w:bCs/>
          <w:sz w:val="28"/>
          <w:szCs w:val="28"/>
        </w:rPr>
        <w:t xml:space="preserve"> Based on the Findings:</w:t>
      </w:r>
    </w:p>
    <w:p w14:paraId="165891E2" w14:textId="77777777" w:rsidR="0010159F" w:rsidRPr="0010159F" w:rsidRDefault="0010159F" w:rsidP="0010159F">
      <w:pPr>
        <w:numPr>
          <w:ilvl w:val="0"/>
          <w:numId w:val="5"/>
        </w:numPr>
        <w:rPr>
          <w:rFonts w:cstheme="minorHAnsi"/>
          <w:sz w:val="28"/>
          <w:szCs w:val="28"/>
        </w:rPr>
      </w:pPr>
      <w:r w:rsidRPr="0010159F">
        <w:rPr>
          <w:rFonts w:cstheme="minorHAnsi"/>
          <w:b/>
          <w:bCs/>
          <w:sz w:val="28"/>
          <w:szCs w:val="28"/>
        </w:rPr>
        <w:t>Focus on Poland</w:t>
      </w:r>
      <w:r w:rsidRPr="0010159F">
        <w:rPr>
          <w:rFonts w:cstheme="minorHAnsi"/>
          <w:sz w:val="28"/>
          <w:szCs w:val="28"/>
        </w:rPr>
        <w:t>:</w:t>
      </w:r>
    </w:p>
    <w:p w14:paraId="5EE14060" w14:textId="008BD15C" w:rsidR="0010159F" w:rsidRPr="0010159F" w:rsidRDefault="0010159F" w:rsidP="0010159F">
      <w:pPr>
        <w:numPr>
          <w:ilvl w:val="1"/>
          <w:numId w:val="5"/>
        </w:numPr>
        <w:rPr>
          <w:rFonts w:cstheme="minorHAnsi"/>
          <w:sz w:val="28"/>
          <w:szCs w:val="28"/>
        </w:rPr>
      </w:pPr>
      <w:r w:rsidRPr="0010159F">
        <w:rPr>
          <w:rFonts w:cstheme="minorHAnsi"/>
          <w:sz w:val="28"/>
          <w:szCs w:val="28"/>
        </w:rPr>
        <w:t xml:space="preserve">Given the low sales in Poland, it may be important to investigate and resolve any issues related to distribution. If products weren’t delivered, it’s crucial to identify the root causes—logistical </w:t>
      </w:r>
      <w:r w:rsidRPr="0010159F">
        <w:rPr>
          <w:rFonts w:cstheme="minorHAnsi"/>
          <w:sz w:val="28"/>
          <w:szCs w:val="28"/>
        </w:rPr>
        <w:lastRenderedPageBreak/>
        <w:t>challenges, supply chain disruptions, or lack of distributor engagement</w:t>
      </w:r>
      <w:r w:rsidR="00001ADA" w:rsidRPr="0045775F">
        <w:rPr>
          <w:rFonts w:cstheme="minorHAnsi"/>
          <w:sz w:val="28"/>
          <w:szCs w:val="28"/>
        </w:rPr>
        <w:t>.</w:t>
      </w:r>
    </w:p>
    <w:p w14:paraId="026F8256" w14:textId="77777777" w:rsidR="0010159F" w:rsidRPr="0010159F" w:rsidRDefault="0010159F" w:rsidP="0010159F">
      <w:pPr>
        <w:numPr>
          <w:ilvl w:val="0"/>
          <w:numId w:val="5"/>
        </w:numPr>
        <w:rPr>
          <w:rFonts w:cstheme="minorHAnsi"/>
          <w:sz w:val="28"/>
          <w:szCs w:val="28"/>
        </w:rPr>
      </w:pPr>
      <w:r w:rsidRPr="0010159F">
        <w:rPr>
          <w:rFonts w:cstheme="minorHAnsi"/>
          <w:b/>
          <w:bCs/>
          <w:sz w:val="28"/>
          <w:szCs w:val="28"/>
        </w:rPr>
        <w:t>Strengthen Distribution Channels</w:t>
      </w:r>
      <w:r w:rsidRPr="0010159F">
        <w:rPr>
          <w:rFonts w:cstheme="minorHAnsi"/>
          <w:sz w:val="28"/>
          <w:szCs w:val="28"/>
        </w:rPr>
        <w:t>:</w:t>
      </w:r>
    </w:p>
    <w:p w14:paraId="0AE7E075" w14:textId="77777777" w:rsidR="0010159F" w:rsidRPr="0010159F" w:rsidRDefault="0010159F" w:rsidP="0010159F">
      <w:pPr>
        <w:numPr>
          <w:ilvl w:val="1"/>
          <w:numId w:val="5"/>
        </w:numPr>
        <w:rPr>
          <w:rFonts w:cstheme="minorHAnsi"/>
          <w:sz w:val="28"/>
          <w:szCs w:val="28"/>
        </w:rPr>
      </w:pPr>
      <w:r w:rsidRPr="0010159F">
        <w:rPr>
          <w:rFonts w:cstheme="minorHAnsi"/>
          <w:sz w:val="28"/>
          <w:szCs w:val="28"/>
        </w:rPr>
        <w:t>Since pharmacies have the highest sales share, Foresight could consider reinforcing its relationships with pharmacy chains or distributors. Offering incentives or promotional campaigns might help boost sales further in this channel.</w:t>
      </w:r>
    </w:p>
    <w:p w14:paraId="7C9A995B" w14:textId="46BAA31B" w:rsidR="0010159F" w:rsidRPr="0010159F" w:rsidRDefault="00001ADA" w:rsidP="0010159F">
      <w:pPr>
        <w:numPr>
          <w:ilvl w:val="1"/>
          <w:numId w:val="5"/>
        </w:numPr>
        <w:rPr>
          <w:rFonts w:cstheme="minorHAnsi"/>
          <w:sz w:val="28"/>
          <w:szCs w:val="28"/>
        </w:rPr>
      </w:pPr>
      <w:r w:rsidRPr="0045775F">
        <w:rPr>
          <w:rFonts w:cstheme="minorHAnsi"/>
          <w:sz w:val="28"/>
          <w:szCs w:val="28"/>
        </w:rPr>
        <w:t>Consider</w:t>
      </w:r>
      <w:r w:rsidR="0010159F" w:rsidRPr="0010159F">
        <w:rPr>
          <w:rFonts w:cstheme="minorHAnsi"/>
          <w:sz w:val="28"/>
          <w:szCs w:val="28"/>
        </w:rPr>
        <w:t xml:space="preserve"> expanding the retail subchannel, since it's contributing a growing share of sales. </w:t>
      </w:r>
    </w:p>
    <w:p w14:paraId="51FA3960" w14:textId="77777777" w:rsidR="0010159F" w:rsidRPr="0010159F" w:rsidRDefault="0010159F" w:rsidP="0010159F">
      <w:pPr>
        <w:numPr>
          <w:ilvl w:val="0"/>
          <w:numId w:val="5"/>
        </w:numPr>
        <w:rPr>
          <w:rFonts w:cstheme="minorHAnsi"/>
          <w:sz w:val="28"/>
          <w:szCs w:val="28"/>
        </w:rPr>
      </w:pPr>
      <w:r w:rsidRPr="0010159F">
        <w:rPr>
          <w:rFonts w:cstheme="minorHAnsi"/>
          <w:b/>
          <w:bCs/>
          <w:sz w:val="28"/>
          <w:szCs w:val="28"/>
        </w:rPr>
        <w:t>Leverage Germany’s Strong Market</w:t>
      </w:r>
      <w:r w:rsidRPr="0010159F">
        <w:rPr>
          <w:rFonts w:cstheme="minorHAnsi"/>
          <w:sz w:val="28"/>
          <w:szCs w:val="28"/>
        </w:rPr>
        <w:t>:</w:t>
      </w:r>
    </w:p>
    <w:p w14:paraId="0777F637" w14:textId="0C3D645E" w:rsidR="0010159F" w:rsidRPr="0010159F" w:rsidRDefault="0010159F" w:rsidP="0010159F">
      <w:pPr>
        <w:numPr>
          <w:ilvl w:val="1"/>
          <w:numId w:val="5"/>
        </w:numPr>
        <w:rPr>
          <w:rFonts w:cstheme="minorHAnsi"/>
          <w:sz w:val="28"/>
          <w:szCs w:val="28"/>
        </w:rPr>
      </w:pPr>
      <w:r w:rsidRPr="0010159F">
        <w:rPr>
          <w:rFonts w:cstheme="minorHAnsi"/>
          <w:sz w:val="28"/>
          <w:szCs w:val="28"/>
        </w:rPr>
        <w:t>The high sales in Germany indicate that Foresight has a strong foothold there. Gathering more granular data on the success factors could guide strategies for other markets.</w:t>
      </w:r>
    </w:p>
    <w:p w14:paraId="202D4365" w14:textId="77777777" w:rsidR="0010159F" w:rsidRPr="0010159F" w:rsidRDefault="0010159F" w:rsidP="0010159F">
      <w:pPr>
        <w:numPr>
          <w:ilvl w:val="0"/>
          <w:numId w:val="5"/>
        </w:numPr>
        <w:rPr>
          <w:rFonts w:cstheme="minorHAnsi"/>
          <w:sz w:val="28"/>
          <w:szCs w:val="28"/>
        </w:rPr>
      </w:pPr>
      <w:r w:rsidRPr="0010159F">
        <w:rPr>
          <w:rFonts w:cstheme="minorHAnsi"/>
          <w:b/>
          <w:bCs/>
          <w:sz w:val="28"/>
          <w:szCs w:val="28"/>
        </w:rPr>
        <w:t>Respond to Hospital Channel Decline</w:t>
      </w:r>
      <w:r w:rsidRPr="0010159F">
        <w:rPr>
          <w:rFonts w:cstheme="minorHAnsi"/>
          <w:sz w:val="28"/>
          <w:szCs w:val="28"/>
        </w:rPr>
        <w:t>:</w:t>
      </w:r>
    </w:p>
    <w:p w14:paraId="037F4200" w14:textId="77777777" w:rsidR="0010159F" w:rsidRPr="0010159F" w:rsidRDefault="0010159F" w:rsidP="0010159F">
      <w:pPr>
        <w:numPr>
          <w:ilvl w:val="1"/>
          <w:numId w:val="5"/>
        </w:numPr>
        <w:rPr>
          <w:rFonts w:cstheme="minorHAnsi"/>
          <w:sz w:val="28"/>
          <w:szCs w:val="28"/>
        </w:rPr>
      </w:pPr>
      <w:r w:rsidRPr="0010159F">
        <w:rPr>
          <w:rFonts w:cstheme="minorHAnsi"/>
          <w:sz w:val="28"/>
          <w:szCs w:val="28"/>
        </w:rPr>
        <w:t>The dip in hospital sales could be due to COVID-19, but it might also reflect a longer-term trend in healthcare spending or changing purchasing patterns. Investigating this further—through market research, customer feedback, or partnerships with hospitals—could uncover deeper insights.</w:t>
      </w:r>
    </w:p>
    <w:p w14:paraId="4413B857" w14:textId="10C7D6AB" w:rsidR="0010159F" w:rsidRPr="0010159F" w:rsidRDefault="0010159F" w:rsidP="00B17A14">
      <w:pPr>
        <w:ind w:left="1080"/>
        <w:rPr>
          <w:rFonts w:cstheme="minorHAnsi"/>
          <w:sz w:val="28"/>
          <w:szCs w:val="28"/>
        </w:rPr>
      </w:pPr>
    </w:p>
    <w:p w14:paraId="12B947CD" w14:textId="77777777" w:rsidR="0010159F" w:rsidRPr="0045775F" w:rsidRDefault="0010159F" w:rsidP="0010159F">
      <w:pPr>
        <w:ind w:left="720"/>
        <w:rPr>
          <w:rFonts w:cstheme="minorHAnsi"/>
          <w:sz w:val="28"/>
          <w:szCs w:val="28"/>
        </w:rPr>
      </w:pPr>
    </w:p>
    <w:p w14:paraId="4A53BCEF" w14:textId="77777777" w:rsidR="00D15B09" w:rsidRPr="0045775F" w:rsidRDefault="00D15B09" w:rsidP="00D15B09">
      <w:pPr>
        <w:ind w:left="720"/>
        <w:rPr>
          <w:rFonts w:cstheme="minorHAnsi"/>
          <w:sz w:val="28"/>
          <w:szCs w:val="28"/>
        </w:rPr>
      </w:pPr>
    </w:p>
    <w:p w14:paraId="31E79DA9" w14:textId="77777777" w:rsidR="00B578DF" w:rsidRPr="0045775F" w:rsidRDefault="00B578DF" w:rsidP="00B578DF">
      <w:pPr>
        <w:rPr>
          <w:rFonts w:cstheme="minorHAnsi"/>
          <w:sz w:val="28"/>
          <w:szCs w:val="28"/>
        </w:rPr>
      </w:pPr>
    </w:p>
    <w:p w14:paraId="3492D6F8" w14:textId="77777777" w:rsidR="00B578DF" w:rsidRPr="0045775F" w:rsidRDefault="00B578DF" w:rsidP="00B578DF">
      <w:pPr>
        <w:rPr>
          <w:rFonts w:cstheme="minorHAnsi"/>
          <w:sz w:val="28"/>
          <w:szCs w:val="28"/>
        </w:rPr>
      </w:pPr>
    </w:p>
    <w:p w14:paraId="3CF7EC2A" w14:textId="77777777" w:rsidR="005C13F8" w:rsidRPr="0045775F" w:rsidRDefault="005C13F8">
      <w:pPr>
        <w:rPr>
          <w:rFonts w:cstheme="minorHAnsi"/>
          <w:sz w:val="28"/>
          <w:szCs w:val="28"/>
        </w:rPr>
      </w:pPr>
    </w:p>
    <w:p w14:paraId="0A31A049" w14:textId="77777777" w:rsidR="00CE64C0" w:rsidRPr="0045775F" w:rsidRDefault="00CE64C0">
      <w:pPr>
        <w:rPr>
          <w:rFonts w:cstheme="minorHAnsi"/>
          <w:b/>
          <w:bCs/>
          <w:sz w:val="28"/>
          <w:szCs w:val="28"/>
        </w:rPr>
      </w:pPr>
    </w:p>
    <w:sectPr w:rsidR="00CE64C0" w:rsidRPr="00457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858D6"/>
    <w:multiLevelType w:val="multilevel"/>
    <w:tmpl w:val="867CC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374370"/>
    <w:multiLevelType w:val="multilevel"/>
    <w:tmpl w:val="CEDC6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7133E2"/>
    <w:multiLevelType w:val="multilevel"/>
    <w:tmpl w:val="4182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A741F7"/>
    <w:multiLevelType w:val="multilevel"/>
    <w:tmpl w:val="D0EE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1D14F1"/>
    <w:multiLevelType w:val="multilevel"/>
    <w:tmpl w:val="3FA61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9907074">
    <w:abstractNumId w:val="1"/>
  </w:num>
  <w:num w:numId="2" w16cid:durableId="400373363">
    <w:abstractNumId w:val="2"/>
  </w:num>
  <w:num w:numId="3" w16cid:durableId="906651605">
    <w:abstractNumId w:val="3"/>
  </w:num>
  <w:num w:numId="4" w16cid:durableId="914628588">
    <w:abstractNumId w:val="0"/>
  </w:num>
  <w:num w:numId="5" w16cid:durableId="6400399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4C0"/>
    <w:rsid w:val="00001ADA"/>
    <w:rsid w:val="00082299"/>
    <w:rsid w:val="000957FC"/>
    <w:rsid w:val="0010159F"/>
    <w:rsid w:val="00270D28"/>
    <w:rsid w:val="002F5CAD"/>
    <w:rsid w:val="00341332"/>
    <w:rsid w:val="0045775F"/>
    <w:rsid w:val="005C13F8"/>
    <w:rsid w:val="005E332F"/>
    <w:rsid w:val="006167F1"/>
    <w:rsid w:val="0066281C"/>
    <w:rsid w:val="00851612"/>
    <w:rsid w:val="00876B52"/>
    <w:rsid w:val="00990DC3"/>
    <w:rsid w:val="00AB21B3"/>
    <w:rsid w:val="00B17A14"/>
    <w:rsid w:val="00B578DF"/>
    <w:rsid w:val="00C60765"/>
    <w:rsid w:val="00CE64C0"/>
    <w:rsid w:val="00D15B09"/>
    <w:rsid w:val="00DB6AFD"/>
    <w:rsid w:val="00ED6040"/>
    <w:rsid w:val="00F04325"/>
    <w:rsid w:val="00F337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DC3A0"/>
  <w15:chartTrackingRefBased/>
  <w15:docId w15:val="{ECAC2204-76C4-433C-A9F5-B665A7B0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4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64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64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64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64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64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4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4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4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4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64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64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64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64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64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4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4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4C0"/>
    <w:rPr>
      <w:rFonts w:eastAsiaTheme="majorEastAsia" w:cstheme="majorBidi"/>
      <w:color w:val="272727" w:themeColor="text1" w:themeTint="D8"/>
    </w:rPr>
  </w:style>
  <w:style w:type="paragraph" w:styleId="Title">
    <w:name w:val="Title"/>
    <w:basedOn w:val="Normal"/>
    <w:next w:val="Normal"/>
    <w:link w:val="TitleChar"/>
    <w:uiPriority w:val="10"/>
    <w:qFormat/>
    <w:rsid w:val="00CE64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4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4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4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4C0"/>
    <w:pPr>
      <w:spacing w:before="160"/>
      <w:jc w:val="center"/>
    </w:pPr>
    <w:rPr>
      <w:i/>
      <w:iCs/>
      <w:color w:val="404040" w:themeColor="text1" w:themeTint="BF"/>
    </w:rPr>
  </w:style>
  <w:style w:type="character" w:customStyle="1" w:styleId="QuoteChar">
    <w:name w:val="Quote Char"/>
    <w:basedOn w:val="DefaultParagraphFont"/>
    <w:link w:val="Quote"/>
    <w:uiPriority w:val="29"/>
    <w:rsid w:val="00CE64C0"/>
    <w:rPr>
      <w:i/>
      <w:iCs/>
      <w:color w:val="404040" w:themeColor="text1" w:themeTint="BF"/>
    </w:rPr>
  </w:style>
  <w:style w:type="paragraph" w:styleId="ListParagraph">
    <w:name w:val="List Paragraph"/>
    <w:basedOn w:val="Normal"/>
    <w:uiPriority w:val="34"/>
    <w:qFormat/>
    <w:rsid w:val="00CE64C0"/>
    <w:pPr>
      <w:ind w:left="720"/>
      <w:contextualSpacing/>
    </w:pPr>
  </w:style>
  <w:style w:type="character" w:styleId="IntenseEmphasis">
    <w:name w:val="Intense Emphasis"/>
    <w:basedOn w:val="DefaultParagraphFont"/>
    <w:uiPriority w:val="21"/>
    <w:qFormat/>
    <w:rsid w:val="00CE64C0"/>
    <w:rPr>
      <w:i/>
      <w:iCs/>
      <w:color w:val="2F5496" w:themeColor="accent1" w:themeShade="BF"/>
    </w:rPr>
  </w:style>
  <w:style w:type="paragraph" w:styleId="IntenseQuote">
    <w:name w:val="Intense Quote"/>
    <w:basedOn w:val="Normal"/>
    <w:next w:val="Normal"/>
    <w:link w:val="IntenseQuoteChar"/>
    <w:uiPriority w:val="30"/>
    <w:qFormat/>
    <w:rsid w:val="00CE64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64C0"/>
    <w:rPr>
      <w:i/>
      <w:iCs/>
      <w:color w:val="2F5496" w:themeColor="accent1" w:themeShade="BF"/>
    </w:rPr>
  </w:style>
  <w:style w:type="character" w:styleId="IntenseReference">
    <w:name w:val="Intense Reference"/>
    <w:basedOn w:val="DefaultParagraphFont"/>
    <w:uiPriority w:val="32"/>
    <w:qFormat/>
    <w:rsid w:val="00CE64C0"/>
    <w:rPr>
      <w:b/>
      <w:bCs/>
      <w:smallCaps/>
      <w:color w:val="2F5496" w:themeColor="accent1" w:themeShade="BF"/>
      <w:spacing w:val="5"/>
    </w:rPr>
  </w:style>
  <w:style w:type="character" w:styleId="Hyperlink">
    <w:name w:val="Hyperlink"/>
    <w:basedOn w:val="DefaultParagraphFont"/>
    <w:uiPriority w:val="99"/>
    <w:unhideWhenUsed/>
    <w:rsid w:val="00B578DF"/>
    <w:rPr>
      <w:color w:val="0563C1" w:themeColor="hyperlink"/>
      <w:u w:val="single"/>
    </w:rPr>
  </w:style>
  <w:style w:type="character" w:styleId="UnresolvedMention">
    <w:name w:val="Unresolved Mention"/>
    <w:basedOn w:val="DefaultParagraphFont"/>
    <w:uiPriority w:val="99"/>
    <w:semiHidden/>
    <w:unhideWhenUsed/>
    <w:rsid w:val="00B578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765333">
      <w:bodyDiv w:val="1"/>
      <w:marLeft w:val="0"/>
      <w:marRight w:val="0"/>
      <w:marTop w:val="0"/>
      <w:marBottom w:val="0"/>
      <w:divBdr>
        <w:top w:val="none" w:sz="0" w:space="0" w:color="auto"/>
        <w:left w:val="none" w:sz="0" w:space="0" w:color="auto"/>
        <w:bottom w:val="none" w:sz="0" w:space="0" w:color="auto"/>
        <w:right w:val="none" w:sz="0" w:space="0" w:color="auto"/>
      </w:divBdr>
    </w:div>
    <w:div w:id="237374449">
      <w:bodyDiv w:val="1"/>
      <w:marLeft w:val="0"/>
      <w:marRight w:val="0"/>
      <w:marTop w:val="0"/>
      <w:marBottom w:val="0"/>
      <w:divBdr>
        <w:top w:val="none" w:sz="0" w:space="0" w:color="auto"/>
        <w:left w:val="none" w:sz="0" w:space="0" w:color="auto"/>
        <w:bottom w:val="none" w:sz="0" w:space="0" w:color="auto"/>
        <w:right w:val="none" w:sz="0" w:space="0" w:color="auto"/>
      </w:divBdr>
    </w:div>
    <w:div w:id="444347742">
      <w:bodyDiv w:val="1"/>
      <w:marLeft w:val="0"/>
      <w:marRight w:val="0"/>
      <w:marTop w:val="0"/>
      <w:marBottom w:val="0"/>
      <w:divBdr>
        <w:top w:val="none" w:sz="0" w:space="0" w:color="auto"/>
        <w:left w:val="none" w:sz="0" w:space="0" w:color="auto"/>
        <w:bottom w:val="none" w:sz="0" w:space="0" w:color="auto"/>
        <w:right w:val="none" w:sz="0" w:space="0" w:color="auto"/>
      </w:divBdr>
    </w:div>
    <w:div w:id="532884616">
      <w:bodyDiv w:val="1"/>
      <w:marLeft w:val="0"/>
      <w:marRight w:val="0"/>
      <w:marTop w:val="0"/>
      <w:marBottom w:val="0"/>
      <w:divBdr>
        <w:top w:val="none" w:sz="0" w:space="0" w:color="auto"/>
        <w:left w:val="none" w:sz="0" w:space="0" w:color="auto"/>
        <w:bottom w:val="none" w:sz="0" w:space="0" w:color="auto"/>
        <w:right w:val="none" w:sz="0" w:space="0" w:color="auto"/>
      </w:divBdr>
    </w:div>
    <w:div w:id="824205223">
      <w:bodyDiv w:val="1"/>
      <w:marLeft w:val="0"/>
      <w:marRight w:val="0"/>
      <w:marTop w:val="0"/>
      <w:marBottom w:val="0"/>
      <w:divBdr>
        <w:top w:val="none" w:sz="0" w:space="0" w:color="auto"/>
        <w:left w:val="none" w:sz="0" w:space="0" w:color="auto"/>
        <w:bottom w:val="none" w:sz="0" w:space="0" w:color="auto"/>
        <w:right w:val="none" w:sz="0" w:space="0" w:color="auto"/>
      </w:divBdr>
    </w:div>
    <w:div w:id="834221377">
      <w:bodyDiv w:val="1"/>
      <w:marLeft w:val="0"/>
      <w:marRight w:val="0"/>
      <w:marTop w:val="0"/>
      <w:marBottom w:val="0"/>
      <w:divBdr>
        <w:top w:val="none" w:sz="0" w:space="0" w:color="auto"/>
        <w:left w:val="none" w:sz="0" w:space="0" w:color="auto"/>
        <w:bottom w:val="none" w:sz="0" w:space="0" w:color="auto"/>
        <w:right w:val="none" w:sz="0" w:space="0" w:color="auto"/>
      </w:divBdr>
    </w:div>
    <w:div w:id="1135029947">
      <w:bodyDiv w:val="1"/>
      <w:marLeft w:val="0"/>
      <w:marRight w:val="0"/>
      <w:marTop w:val="0"/>
      <w:marBottom w:val="0"/>
      <w:divBdr>
        <w:top w:val="none" w:sz="0" w:space="0" w:color="auto"/>
        <w:left w:val="none" w:sz="0" w:space="0" w:color="auto"/>
        <w:bottom w:val="none" w:sz="0" w:space="0" w:color="auto"/>
        <w:right w:val="none" w:sz="0" w:space="0" w:color="auto"/>
      </w:divBdr>
      <w:divsChild>
        <w:div w:id="555627292">
          <w:marLeft w:val="0"/>
          <w:marRight w:val="0"/>
          <w:marTop w:val="0"/>
          <w:marBottom w:val="0"/>
          <w:divBdr>
            <w:top w:val="none" w:sz="0" w:space="0" w:color="auto"/>
            <w:left w:val="none" w:sz="0" w:space="0" w:color="auto"/>
            <w:bottom w:val="none" w:sz="0" w:space="0" w:color="auto"/>
            <w:right w:val="none" w:sz="0" w:space="0" w:color="auto"/>
          </w:divBdr>
        </w:div>
      </w:divsChild>
    </w:div>
    <w:div w:id="1208224579">
      <w:bodyDiv w:val="1"/>
      <w:marLeft w:val="0"/>
      <w:marRight w:val="0"/>
      <w:marTop w:val="0"/>
      <w:marBottom w:val="0"/>
      <w:divBdr>
        <w:top w:val="none" w:sz="0" w:space="0" w:color="auto"/>
        <w:left w:val="none" w:sz="0" w:space="0" w:color="auto"/>
        <w:bottom w:val="none" w:sz="0" w:space="0" w:color="auto"/>
        <w:right w:val="none" w:sz="0" w:space="0" w:color="auto"/>
      </w:divBdr>
      <w:divsChild>
        <w:div w:id="1964845835">
          <w:marLeft w:val="0"/>
          <w:marRight w:val="0"/>
          <w:marTop w:val="0"/>
          <w:marBottom w:val="0"/>
          <w:divBdr>
            <w:top w:val="none" w:sz="0" w:space="0" w:color="auto"/>
            <w:left w:val="none" w:sz="0" w:space="0" w:color="auto"/>
            <w:bottom w:val="none" w:sz="0" w:space="0" w:color="auto"/>
            <w:right w:val="none" w:sz="0" w:space="0" w:color="auto"/>
          </w:divBdr>
        </w:div>
      </w:divsChild>
    </w:div>
    <w:div w:id="1320304535">
      <w:bodyDiv w:val="1"/>
      <w:marLeft w:val="0"/>
      <w:marRight w:val="0"/>
      <w:marTop w:val="0"/>
      <w:marBottom w:val="0"/>
      <w:divBdr>
        <w:top w:val="none" w:sz="0" w:space="0" w:color="auto"/>
        <w:left w:val="none" w:sz="0" w:space="0" w:color="auto"/>
        <w:bottom w:val="none" w:sz="0" w:space="0" w:color="auto"/>
        <w:right w:val="none" w:sz="0" w:space="0" w:color="auto"/>
      </w:divBdr>
    </w:div>
    <w:div w:id="1353845376">
      <w:bodyDiv w:val="1"/>
      <w:marLeft w:val="0"/>
      <w:marRight w:val="0"/>
      <w:marTop w:val="0"/>
      <w:marBottom w:val="0"/>
      <w:divBdr>
        <w:top w:val="none" w:sz="0" w:space="0" w:color="auto"/>
        <w:left w:val="none" w:sz="0" w:space="0" w:color="auto"/>
        <w:bottom w:val="none" w:sz="0" w:space="0" w:color="auto"/>
        <w:right w:val="none" w:sz="0" w:space="0" w:color="auto"/>
      </w:divBdr>
    </w:div>
    <w:div w:id="1758283384">
      <w:bodyDiv w:val="1"/>
      <w:marLeft w:val="0"/>
      <w:marRight w:val="0"/>
      <w:marTop w:val="0"/>
      <w:marBottom w:val="0"/>
      <w:divBdr>
        <w:top w:val="none" w:sz="0" w:space="0" w:color="auto"/>
        <w:left w:val="none" w:sz="0" w:space="0" w:color="auto"/>
        <w:bottom w:val="none" w:sz="0" w:space="0" w:color="auto"/>
        <w:right w:val="none" w:sz="0" w:space="0" w:color="auto"/>
      </w:divBdr>
    </w:div>
    <w:div w:id="185311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resightbi.com.ng/practice-data/3-datasets-for-your-portfol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4944</TotalTime>
  <Pages>4</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keerthy</dc:creator>
  <cp:keywords/>
  <dc:description/>
  <cp:lastModifiedBy>umesh keerthy</cp:lastModifiedBy>
  <cp:revision>15</cp:revision>
  <dcterms:created xsi:type="dcterms:W3CDTF">2025-06-16T09:17:00Z</dcterms:created>
  <dcterms:modified xsi:type="dcterms:W3CDTF">2025-06-22T05:54:00Z</dcterms:modified>
</cp:coreProperties>
</file>