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Step 1: team gathering, goal, problem statement and brainstorming rules for the Incident Client Script and UI Policy project" id="6" name="image3.png"/>
            <a:graphic>
              <a:graphicData uri="http://schemas.openxmlformats.org/drawingml/2006/picture">
                <pic:pic>
                  <pic:nvPicPr>
                    <pic:cNvPr descr="Step 1: team gathering, goal, problem statement and brainstorming rules for the Incident Client Script and UI Policy projec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Step 2: brainstormed ideas by team member and grouped idea clusters" id="8" name="image2.png"/>
            <a:graphic>
              <a:graphicData uri="http://schemas.openxmlformats.org/drawingml/2006/picture">
                <pic:pic>
                  <pic:nvPicPr>
                    <pic:cNvPr descr="Step 2: brainstormed ideas by team member and grouped idea clusters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3879791"/>
            <wp:effectExtent b="0" l="0" r="0" t="0"/>
            <wp:docPr descr="Step 3: idea prioritization grid of importance versus feasibility with prioritized idea list" id="7" name="image1.png"/>
            <a:graphic>
              <a:graphicData uri="http://schemas.openxmlformats.org/drawingml/2006/picture">
                <pic:pic>
                  <pic:nvPicPr>
                    <pic:cNvPr descr="Step 3: idea prioritization grid of importance versus feasibility with prioritized idea list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