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04 October 2026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14:paraId="0000010A">
            <w:pPr>
              <w:rPr/>
            </w:pPr>
            <w:r>
              <w:rPr>
                <w:rtl w:val="0"/>
              </w:rPr>
              <w:t xml:space="preserve">SWTID-2026-5690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14:paraId="00000114">
            <w:pPr>
              <w:rPr/>
            </w:pPr>
            <w:r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1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14:paraId="0000011E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14:paraId="00000128">
            <w:pPr>
              <w:rPr/>
            </w:pPr>
            <w:r>
              <w:rPr>
                <w:rtl w:val="0"/>
              </w:rPr>
              <w:t xml:space="preserve">Incident Form Validation (Client Script)</w:t>
            </w:r>
          </w:p>
        </w:tc>
        <w:tc>
          <w:tcPr/>
          <w:p w14:paraId="00000132">
            <w:pPr>
              <w:rPr/>
            </w:pPr>
            <w:r>
              <w:rPr>
                <w:rtl w:val="0"/>
              </w:rPr>
              <w:t xml:space="preserve">onLoad: display a guidance message and set default values when a new Incident form is opened</w:t>
            </w:r>
          </w:p>
          <w:p w14:paraId="00000133">
            <w:pPr>
              <w:rPr/>
            </w:pPr>
            <w:r>
              <w:rPr>
                <w:rtl w:val="0"/>
              </w:rPr>
              <w:t xml:space="preserve">onChange: validate that the Short description has at least 10 characters</w:t>
            </w:r>
          </w:p>
          <w:p w14:paraId="00000134">
            <w:pPr>
              <w:rPr/>
            </w:pPr>
            <w:r>
              <w:rPr>
                <w:rtl w:val="0"/>
              </w:rPr>
              <w:t xml:space="preserve">onChange: alert the user when Impact and Urgency are both set to High</w:t>
            </w:r>
          </w:p>
          <w:p w14:paraId="00000135">
            <w:pPr>
              <w:rPr/>
            </w:pPr>
            <w:r>
              <w:rPr>
                <w:rtl w:val="0"/>
              </w:rPr>
              <w:t xml:space="preserve">onSubmit: block submission when mandatory data is missing (e.g. Priority 1 without an Assignment group)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14:paraId="0000013C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14:paraId="00000146">
            <w:pPr>
              <w:rPr/>
            </w:pPr>
            <w:r>
              <w:rPr>
                <w:rtl w:val="0"/>
              </w:rPr>
              <w:t xml:space="preserve">Dynamic Field Behaviour (UI Policy)</w:t>
            </w:r>
          </w:p>
        </w:tc>
        <w:tc>
          <w:tcPr/>
          <w:p w14:paraId="00000150">
            <w:pPr>
              <w:rPr/>
            </w:pPr>
            <w:r>
              <w:rPr>
                <w:rtl w:val="0"/>
              </w:rPr>
              <w:t xml:space="preserve">Show the On hold reason field and make it mandatory only when State is On Hold</w:t>
            </w:r>
          </w:p>
          <w:p w14:paraId="00000151">
            <w:pPr>
              <w:rPr/>
            </w:pPr>
            <w:r>
              <w:rPr>
                <w:rtl w:val="0"/>
              </w:rPr>
              <w:t xml:space="preserve">Make Resolution code and Close notes mandatory when State is Resolved or Closed</w:t>
            </w:r>
          </w:p>
          <w:p w14:paraId="00000152">
            <w:pPr>
              <w:rPr/>
            </w:pPr>
            <w:r>
              <w:rPr>
                <w:rtl w:val="0"/>
              </w:rPr>
              <w:t xml:space="preserve">Make Assigned to read-only until an Assignment group is selected</w:t>
            </w:r>
          </w:p>
        </w:tc>
      </w:tr>
      <w:tr>
        <w:trPr>
          <w:cantSplit w:val="1"/>
          <w:trHeight w:val="470" w:hRule="atLeast"/>
          <w:tblHeader w:val="0"/>
        </w:trPr>
        <w:tc>
          <w:tcPr/>
          <w:p w14:paraId="0000015A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14:paraId="00000164">
            <w:pPr>
              <w:rPr/>
            </w:pPr>
            <w:r>
              <w:rPr>
                <w:rtl w:val="0"/>
              </w:rPr>
              <w:t xml:space="preserve">Category &amp; Subcategory Handling</w:t>
            </w:r>
          </w:p>
        </w:tc>
        <w:tc>
          <w:tcPr/>
          <w:p w14:paraId="0000016E">
            <w:pPr>
              <w:rPr/>
            </w:pPr>
            <w:r>
              <w:rPr>
                <w:rtl w:val="0"/>
              </w:rPr>
              <w:t xml:space="preserve">Clear the Subcategory value whenever the Category is changed</w:t>
            </w:r>
          </w:p>
          <w:p w14:paraId="0000016F">
            <w:pPr>
              <w:rPr/>
            </w:pPr>
            <w:r>
              <w:rPr>
                <w:rtl w:val="0"/>
              </w:rPr>
              <w:t xml:space="preserve">Display only the Subcategory options relevant to the selected Category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14:paraId="00000178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14:paraId="00000182">
            <w:pPr>
              <w:rPr/>
            </w:pPr>
            <w:r>
              <w:rPr>
                <w:rtl w:val="0"/>
              </w:rPr>
              <w:t xml:space="preserve">User Feedback &amp; Messaging</w:t>
            </w:r>
          </w:p>
        </w:tc>
        <w:tc>
          <w:tcPr/>
          <w:p w14:paraId="0000018C">
            <w:pPr>
              <w:rPr/>
            </w:pPr>
            <w:r>
              <w:rPr>
                <w:rtl w:val="0"/>
              </w:rPr>
              <w:t xml:space="preserve">Show form-level information and error messages using g_form.addInfoMessage() and g_form.addErrorMessage()</w:t>
            </w:r>
          </w:p>
          <w:p w14:paraId="0000018D">
            <w:pPr>
              <w:rPr/>
            </w:pPr>
            <w:r>
              <w:rPr>
                <w:rtl w:val="0"/>
              </w:rPr>
              <w:t xml:space="preserve">Show field-level messages next to the field that needs correction</w:t>
            </w:r>
          </w:p>
          <w:p w14:paraId="0000018E">
            <w:pPr>
              <w:rPr/>
            </w:pPr>
            <w:r>
              <w:rPr>
                <w:rtl w:val="0"/>
              </w:rPr>
              <w:t xml:space="preserve">Use alerts to stop invalid actions with a clear, user-friendly message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14:paraId="00000196">
            <w:pPr>
              <w:rPr/>
            </w:pPr>
            <w:r>
              <w:rPr>
                <w:rtl w:val="0"/>
              </w:rPr>
              <w:t xml:space="preserve">FR-5</w:t>
            </w:r>
          </w:p>
        </w:tc>
        <w:tc>
          <w:tcPr/>
          <w:p w14:paraId="000001A0">
            <w:pPr>
              <w:rPr/>
            </w:pPr>
            <w:r>
              <w:rPr>
                <w:rtl w:val="0"/>
              </w:rPr>
              <w:t xml:space="preserve">Role-based Behaviour &amp; Testing</w:t>
            </w:r>
          </w:p>
        </w:tc>
        <w:tc>
          <w:tcPr/>
          <w:p w14:paraId="000001AA">
            <w:pPr>
              <w:rPr/>
            </w:pPr>
            <w:r>
              <w:rPr>
                <w:rtl w:val="0"/>
              </w:rPr>
              <w:t xml:space="preserve">Apply UI Policies and Client Scripts according to user roles (caller, ITIL agent, administrator)</w:t>
            </w:r>
          </w:p>
          <w:p w14:paraId="000001AB">
            <w:pPr>
              <w:rPr/>
            </w:pPr>
            <w:r>
              <w:rPr>
                <w:rtl w:val="0"/>
              </w:rPr>
              <w:t xml:space="preserve">Test each scenario by impersonating different users and verify the expected form behaviour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14:paraId="000001B4">
            <w:pPr>
              <w:rPr/>
            </w:pPr>
            <w:r>
              <w:rPr>
                <w:rtl w:val="0"/>
              </w:rPr>
              <w:t xml:space="preserve">FR-6</w:t>
            </w:r>
          </w:p>
        </w:tc>
        <w:tc>
          <w:tcPr/>
          <w:p w14:paraId="000001BE">
            <w:pPr>
              <w:rPr/>
            </w:pPr>
            <w:r>
              <w:rPr>
                <w:rtl w:val="0"/>
              </w:rPr>
              <w:t xml:space="preserve">Configuration &amp; Deployment</w:t>
            </w:r>
          </w:p>
        </w:tc>
        <w:tc>
          <w:tcPr/>
          <w:p w14:paraId="000001C8">
            <w:pPr>
              <w:rPr/>
            </w:pPr>
            <w:r>
              <w:rPr>
                <w:rtl w:val="0"/>
              </w:rPr>
              <w:t xml:space="preserve">Create and activate Client Scripts and UI Policies on the Incident table</w:t>
            </w:r>
          </w:p>
          <w:p w14:paraId="000001C9">
            <w:pPr>
              <w:rPr/>
            </w:pPr>
            <w:r>
              <w:rPr>
                <w:rtl w:val="0"/>
              </w:rPr>
              <w:t xml:space="preserve">Capture all configurations in an Update Set for migration to other instances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1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14:paraId="000001D2">
            <w:pPr>
              <w:rPr/>
            </w:pPr>
            <w:r>
              <w:rPr>
                <w:rtl w:val="0"/>
              </w:rPr>
              <w:t xml:space="preserve">The Incident form must be intuitive: dynamic fields, clear mandatory-field indicators and plain-language messages help users complete incidents correctly without training.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14:paraId="000001DC">
            <w:pPr>
              <w:rPr/>
            </w:pPr>
            <w:r>
              <w:rPr>
                <w:rtl w:val="0"/>
              </w:rPr>
              <w:t xml:space="preserve">Mandatory and read-only rules follow ServiceNow role-based access. Client-side checks are supported by server-side ACLs and Business Rules, since Client Scripts alone cannot enforce security.</w:t>
            </w:r>
          </w:p>
        </w:tc>
      </w:tr>
      <w:tr>
        <w:trPr>
          <w:cantSplit w:val="1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14:paraId="000001E6">
            <w:pPr>
              <w:rPr/>
            </w:pPr>
            <w:r>
              <w:rPr>
                <w:rtl w:val="0"/>
              </w:rPr>
              <w:t xml:space="preserve">Client Scripts and UI Policies must behave consistently every time the form loads, changes or is submitted, with no script errors in the browser console.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14:paraId="000001F0">
            <w:pPr>
              <w:rPr/>
            </w:pPr>
            <w:r>
              <w:rPr>
                <w:rtl w:val="0"/>
              </w:rPr>
              <w:t xml:space="preserve">Scripts must be lightweight, avoiding unnecessary synchronous server calls (e.g. GlideRecord), so the Incident form loads and responds within 2 seconds.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14:paraId="000001FA">
            <w:pPr>
              <w:rPr/>
            </w:pPr>
            <w:r>
              <w:rPr>
                <w:rtl w:val="0"/>
              </w:rPr>
              <w:t xml:space="preserve">The solution runs on the ServiceNow platform instance and is available whenever the instance is available. It has no separate infrastructure to maintain.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14:paraId="00000204">
            <w:pPr>
              <w:rPr/>
            </w:pPr>
            <w:r>
              <w:rPr>
                <w:rtl w:val="0"/>
              </w:rPr>
              <w:t xml:space="preserve">Scripts and policies are reusable and can be extended to other tables or forms, and promoted across instances (Dev, Test, Production) through Update Sets.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