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04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 xml:space="preserve">SWTID-2026-5690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 xml:space="preserve">Implement Client Script &amp; UI Policy (Incident)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Solution architecture of Client Script and UI Policy on the ServiceNow Incident f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olution architecture of Client Script and UI Policy on the ServiceNow Incident for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Client Script and UI Policy solution on the ServiceNow Incident form</w:t>
      </w:r>
    </w:p>
    <w:p>
      <w:pPr>
        <w:keepNext/>
        <w:spacing w:before="160" w:after="80"/>
      </w:pPr>
      <w:r>
        <w:rPr>
          <w:b/>
        </w:rPr>
        <w:t>Components and data flow:</w:t>
      </w:r>
    </w:p>
    <w:p>
      <w:pPr>
        <w:spacing w:after="80"/>
      </w:pPr>
      <w:r>
        <w:rPr>
          <w:b/>
        </w:rPr>
        <w:t xml:space="preserve">1. Users: </w:t>
      </w:r>
      <w:r>
        <w:t xml:space="preserve">Callers and service desk agents enter or edit Incident data in the browser; messages and alerts are returned immediately.</w:t>
      </w:r>
    </w:p>
    <w:p>
      <w:pPr>
        <w:spacing w:after="80"/>
      </w:pPr>
      <w:r>
        <w:rPr>
          <w:b/>
        </w:rPr>
        <w:t xml:space="preserve">2. Client-side layer: </w:t>
      </w:r>
      <w:r>
        <w:t xml:space="preserve">The UI Policy "High Impact Control" makes Assignment group mandatory and Urgency read-only when Impact is 1 - High, and reverses these effects when the condition is no longer true. The onChange script sets Urgency to 1 - High; the onSubmit script blocks the save when Impact is High and Assigned To is empty; the onCellEdit script blocks State edits in the list view.</w:t>
      </w:r>
    </w:p>
    <w:p>
      <w:pPr>
        <w:spacing w:after="80"/>
      </w:pPr>
      <w:r>
        <w:rPr>
          <w:b/>
        </w:rPr>
        <w:t xml:space="preserve">3. Server-side layer: </w:t>
      </w:r>
      <w:r>
        <w:t xml:space="preserve">Only records that pass client-side validation are submitted to the Incident table; ACLs and Business Rules remain the server-side safeguard.</w:t>
      </w:r>
    </w:p>
    <w:p>
      <w:pPr>
        <w:spacing w:after="80"/>
      </w:pPr>
      <w:r>
        <w:rPr>
          <w:b/>
        </w:rPr>
        <w:t xml:space="preserve">4. Configuration and deployment: </w:t>
      </w:r>
      <w:r>
        <w:t xml:space="preserve">The administrator creates the UI Policy and Client Scripts and moves them to other instances with an Update Set.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https://docs.servicenow.com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servicenow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