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04 October 2026</w:t>
            </w:r>
          </w:p>
        </w:tc>
      </w:tr>
      <w:tr w:rsidR="00604E29" w14:paraId="7A66939B" w14:textId="77777777">
        <w:tc>
          <w:tcPr>
            <w:tcW w:w="4695" w:type="dxa"/>
          </w:tcPr>
          <w:p w14:paraId="2D366549" w14:textId="77777777" w:rsidR="00604E29" w:rsidRDefault="00000000">
            <w:r>
              <w:t>Team ID</w:t>
            </w:r>
          </w:p>
        </w:tc>
        <w:tc>
          <w:tcPr>
            <w:tcW w:w="4335" w:type="dxa"/>
          </w:tcPr>
          <w:p w14:paraId="00007001">
            <w:pPr>
              <w:spacing w:after="80"/>
            </w:pPr>
            <w:r>
              <w:rPr>
                <w:sz w:val="20"/>
                <w:szCs w:val="20"/>
              </w:rPr>
              <w:t xml:space="preserve">SWTID-2026-5690</w:t>
            </w:r>
          </w:p>
        </w:tc>
      </w:tr>
      <w:tr w:rsidR="00604E29" w14:paraId="0E84FB5D" w14:textId="77777777">
        <w:tc>
          <w:tcPr>
            <w:tcW w:w="4695" w:type="dxa"/>
          </w:tcPr>
          <w:p w14:paraId="4C398D34" w14:textId="77777777" w:rsidR="00604E29" w:rsidRDefault="00000000">
            <w:r>
              <w:t>Project Name</w:t>
            </w:r>
          </w:p>
        </w:tc>
        <w:tc>
          <w:tcPr>
            <w:tcW w:w="4335" w:type="dxa"/>
          </w:tcPr>
          <w:p w14:paraId="00007002">
            <w:pPr>
              <w:spacing w:after="80"/>
            </w:pPr>
            <w:r>
              <w:rPr>
                <w:sz w:val="20"/>
                <w:szCs w:val="20"/>
              </w:rPr>
              <w:t xml:space="preserve">Implement Client Script &amp; UI Policy (Incident)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cantSplit/>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cantSplit/>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00007003">
            <w:pPr>
              <w:spacing w:after="80"/>
            </w:pPr>
            <w:r>
              <w:rPr>
                <w:sz w:val="20"/>
                <w:szCs w:val="20"/>
              </w:rPr>
              <w:t xml:space="preserve">The standard ServiceNow Incident form accepts incomplete and inconsistent data. High-impact incidents can be saved without an Assignment group or Assigned To, Urgency is set by hand and often does not match Impact, and State can be changed carelessly from the list view.</w:t>
            </w:r>
          </w:p>
          <w:p w14:paraId="00007004">
            <w:pPr>
              <w:spacing w:after="80"/>
            </w:pPr>
            <w:r>
              <w:rPr>
                <w:sz w:val="20"/>
                <w:szCs w:val="20"/>
              </w:rPr>
              <w:t xml:space="preserve">Errors are noticed only after the record is saved, which causes rework, slower resolution and unreliable incident reports.</w:t>
            </w:r>
          </w:p>
        </w:tc>
      </w:tr>
      <w:tr w:rsidR="00604E29" w14:paraId="6F005075" w14:textId="77777777">
        <w:trPr>
          <w:cantSplit/>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00007005">
            <w:pPr>
              <w:spacing w:after="80"/>
            </w:pPr>
            <w:r>
              <w:rPr>
                <w:sz w:val="20"/>
                <w:szCs w:val="20"/>
              </w:rPr>
              <w:t xml:space="preserve">Configure a UI Policy and Client Scripts on the Incident table so that data is validated in the browser, before it is saved:</w:t>
            </w:r>
          </w:p>
          <w:p w14:paraId="00007006">
            <w:pPr>
              <w:spacing w:after="80"/>
            </w:pPr>
            <w:r>
              <w:rPr>
                <w:sz w:val="20"/>
                <w:szCs w:val="20"/>
              </w:rPr>
              <w:t xml:space="preserve">• UI Policy "High Impact Control": when Impact is 1 - High, Assignment group becomes mandatory and Urgency read-only (Reverse if false).</w:t>
            </w:r>
          </w:p>
          <w:p w14:paraId="00007007">
            <w:pPr>
              <w:spacing w:after="80"/>
            </w:pPr>
            <w:r>
              <w:rPr>
                <w:sz w:val="20"/>
                <w:szCs w:val="20"/>
              </w:rPr>
              <w:t xml:space="preserve">• onChange script: sets Urgency to 1 - High automatically and shows a message.</w:t>
            </w:r>
          </w:p>
          <w:p w14:paraId="00007008">
            <w:pPr>
              <w:spacing w:after="80"/>
            </w:pPr>
            <w:r>
              <w:rPr>
                <w:sz w:val="20"/>
                <w:szCs w:val="20"/>
              </w:rPr>
              <w:t xml:space="preserve">• onSubmit script: blocks the save when Impact is High and Assigned To is empty.</w:t>
            </w:r>
          </w:p>
          <w:p w14:paraId="00007009">
            <w:pPr>
              <w:spacing w:after="80"/>
            </w:pPr>
            <w:r>
              <w:rPr>
                <w:sz w:val="20"/>
                <w:szCs w:val="20"/>
              </w:rPr>
              <w:t xml:space="preserve">• onCellEdit script: blocks State edits in the list view with an alert.</w:t>
            </w:r>
          </w:p>
          <w:p w14:paraId="0000700A">
            <w:pPr>
              <w:spacing w:after="80"/>
            </w:pPr>
            <w:r>
              <w:rPr>
                <w:sz w:val="20"/>
                <w:szCs w:val="20"/>
              </w:rPr>
              <w:t xml:space="preserve">The setup is verified with User Acceptance Testing and moved between instances in an Update Set.</w:t>
            </w:r>
          </w:p>
        </w:tc>
      </w:tr>
      <w:tr w:rsidR="00604E29" w14:paraId="58329B4D" w14:textId="77777777">
        <w:trPr>
          <w:cantSplit/>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0000700B">
            <w:pPr>
              <w:spacing w:after="80"/>
            </w:pPr>
            <w:r>
              <w:rPr>
                <w:sz w:val="20"/>
                <w:szCs w:val="20"/>
              </w:rPr>
              <w:t xml:space="preserve">Gives users instant feedback before the record is saved, with no server round trip.</w:t>
            </w:r>
          </w:p>
          <w:p w14:paraId="0000700C">
            <w:pPr>
              <w:spacing w:after="80"/>
            </w:pPr>
            <w:r>
              <w:rPr>
                <w:sz w:val="20"/>
                <w:szCs w:val="20"/>
              </w:rPr>
              <w:t xml:space="preserve">Combines a no-code, reversible UI Policy with targeted Client Scripts, and protects both entry paths: the form and the list view (onCellEdit), which is often overlooked.</w:t>
            </w:r>
          </w:p>
          <w:p w14:paraId="0000700D">
            <w:pPr>
              <w:spacing w:after="80"/>
            </w:pPr>
            <w:r>
              <w:rPr>
                <w:sz w:val="20"/>
                <w:szCs w:val="20"/>
              </w:rPr>
              <w:t xml:space="preserve">Uses only out-of-the-box ServiceNow features, so no plugins, extra licences or integrations are needed.</w:t>
            </w:r>
          </w:p>
        </w:tc>
      </w:tr>
      <w:tr w:rsidR="00604E29" w14:paraId="3D9C92C5" w14:textId="77777777">
        <w:trPr>
          <w:cantSplit/>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000700E">
            <w:pPr>
              <w:spacing w:after="80"/>
            </w:pPr>
            <w:r>
              <w:rPr>
                <w:sz w:val="20"/>
                <w:szCs w:val="20"/>
              </w:rPr>
              <w:t xml:space="preserve">Critical incidents reach the right group and owner faster, so end users get quicker resolution.</w:t>
            </w:r>
          </w:p>
          <w:p w14:paraId="0000700F">
            <w:pPr>
              <w:spacing w:after="80"/>
            </w:pPr>
            <w:r>
              <w:rPr>
                <w:sz w:val="20"/>
                <w:szCs w:val="20"/>
              </w:rPr>
              <w:t xml:space="preserve">Service desk agents get clear guidance on the form and make fewer mistakes, which reduces rework and frustration.</w:t>
            </w:r>
          </w:p>
          <w:p w14:paraId="00007010">
            <w:pPr>
              <w:spacing w:after="80"/>
            </w:pPr>
            <w:r>
              <w:rPr>
                <w:sz w:val="20"/>
                <w:szCs w:val="20"/>
              </w:rPr>
              <w:t xml:space="preserve">Cleaner incident data improves reports and decisions for managers.</w:t>
            </w:r>
          </w:p>
        </w:tc>
      </w:tr>
      <w:tr w:rsidR="00604E29" w14:paraId="67441115" w14:textId="77777777">
        <w:trPr>
          <w:cantSplit/>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00007011">
            <w:pPr>
              <w:spacing w:after="80"/>
            </w:pPr>
            <w:r>
              <w:rPr>
                <w:sz w:val="20"/>
                <w:szCs w:val="20"/>
              </w:rPr>
              <w:t xml:space="preserve">The solution is a reusable configuration delivered as an Update Set, so it carries no licence cost on top of the existing ServiceNow subscription.</w:t>
            </w:r>
          </w:p>
          <w:p w14:paraId="00007012">
            <w:pPr>
              <w:spacing w:after="80"/>
            </w:pPr>
            <w:r>
              <w:rPr>
                <w:sz w:val="20"/>
                <w:szCs w:val="20"/>
              </w:rPr>
              <w:t xml:space="preserve">Value comes from less rework, faster resolution and better data quality. A ServiceNow partner could also offer it as a packaged implementation service (one-time setup fee plus optional support).</w:t>
            </w:r>
          </w:p>
        </w:tc>
      </w:tr>
      <w:tr w:rsidR="00604E29" w14:paraId="2ECBCEA1" w14:textId="77777777">
        <w:trPr>
          <w:cantSplit/>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00007013">
            <w:pPr>
              <w:spacing w:after="80"/>
            </w:pPr>
            <w:r>
              <w:rPr>
                <w:sz w:val="20"/>
                <w:szCs w:val="20"/>
              </w:rPr>
              <w:t xml:space="preserve">The logic runs in the user’s browser and on the platform, so it scales with the instance without extra infrastructure.</w:t>
            </w:r>
          </w:p>
          <w:p w14:paraId="00007014">
            <w:pPr>
              <w:spacing w:after="80"/>
            </w:pPr>
            <w:r>
              <w:rPr>
                <w:sz w:val="20"/>
                <w:szCs w:val="20"/>
              </w:rPr>
              <w:t xml:space="preserve">The same pattern can be reused for other tables such as Problem, Change and Request, and promoted from Dev to Test to Production using Update Sets.</w:t>
            </w:r>
          </w:p>
          <w:p w14:paraId="00007015">
            <w:pPr>
              <w:spacing w:after="80"/>
            </w:pPr>
            <w:r>
              <w:rPr>
                <w:sz w:val="20"/>
                <w:szCs w:val="20"/>
              </w:rPr>
              <w:t xml:space="preserve">Administrators can change conditions or add rules later without redesigning the solution.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