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953" w:rsidRPr="00E30799" w:rsidRDefault="00F3318B">
      <w:pPr>
        <w:rPr>
          <w:b/>
        </w:rPr>
      </w:pPr>
      <w:r w:rsidRPr="00E30799">
        <w:rPr>
          <w:b/>
        </w:rPr>
        <w:t>Job Archive Files</w:t>
      </w:r>
    </w:p>
    <w:p w:rsidR="00F3318B" w:rsidRDefault="00F3318B">
      <w:pPr>
        <w:rPr>
          <w:sz w:val="18"/>
          <w:szCs w:val="18"/>
        </w:rPr>
      </w:pPr>
      <w:r>
        <w:rPr>
          <w:sz w:val="18"/>
          <w:szCs w:val="18"/>
        </w:rPr>
        <w:t xml:space="preserve">The first step to executing the Talend jobs is to </w:t>
      </w:r>
      <w:r w:rsidR="00375297">
        <w:rPr>
          <w:sz w:val="18"/>
          <w:szCs w:val="18"/>
        </w:rPr>
        <w:t>extract</w:t>
      </w:r>
      <w:r>
        <w:rPr>
          <w:sz w:val="18"/>
          <w:szCs w:val="18"/>
        </w:rPr>
        <w:t xml:space="preserve"> them from the archive files through which they are delivered.  The archive files will have each runnable job included</w:t>
      </w:r>
      <w:r w:rsidR="00375297">
        <w:rPr>
          <w:sz w:val="18"/>
          <w:szCs w:val="18"/>
        </w:rPr>
        <w:t xml:space="preserve"> in a sub-folder off of </w:t>
      </w:r>
      <w:r>
        <w:rPr>
          <w:sz w:val="18"/>
          <w:szCs w:val="18"/>
        </w:rPr>
        <w:t>the root directory (as well as project folders for exported items), for example:</w:t>
      </w:r>
    </w:p>
    <w:p w:rsidR="00F3318B" w:rsidRDefault="00F3318B">
      <w:pPr>
        <w:rPr>
          <w:sz w:val="18"/>
          <w:szCs w:val="18"/>
        </w:rPr>
      </w:pPr>
      <w:r>
        <w:rPr>
          <w:noProof/>
          <w:sz w:val="18"/>
          <w:szCs w:val="18"/>
        </w:rPr>
        <w:drawing>
          <wp:inline distT="0" distB="0" distL="0" distR="0">
            <wp:extent cx="5936615" cy="26543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654300"/>
                    </a:xfrm>
                    <a:prstGeom prst="rect">
                      <a:avLst/>
                    </a:prstGeom>
                    <a:noFill/>
                    <a:ln>
                      <a:noFill/>
                    </a:ln>
                  </pic:spPr>
                </pic:pic>
              </a:graphicData>
            </a:graphic>
          </wp:inline>
        </w:drawing>
      </w:r>
    </w:p>
    <w:p w:rsidR="00F3318B" w:rsidRDefault="00F3318B">
      <w:pPr>
        <w:rPr>
          <w:sz w:val="18"/>
          <w:szCs w:val="18"/>
        </w:rPr>
      </w:pPr>
      <w:r>
        <w:rPr>
          <w:sz w:val="18"/>
          <w:szCs w:val="18"/>
        </w:rPr>
        <w:t>Here the individual runnable jobs are feedAnalyticsDataImport, feedBusinessDays, etc.  Within each job subfolder contains the runnable jar and the scripts that are used to execute it:</w:t>
      </w:r>
    </w:p>
    <w:p w:rsidR="00F3318B" w:rsidRDefault="00F3318B">
      <w:pPr>
        <w:rPr>
          <w:sz w:val="18"/>
          <w:szCs w:val="18"/>
        </w:rPr>
      </w:pPr>
      <w:r>
        <w:rPr>
          <w:noProof/>
          <w:sz w:val="18"/>
          <w:szCs w:val="18"/>
        </w:rPr>
        <w:drawing>
          <wp:inline distT="0" distB="0" distL="0" distR="0">
            <wp:extent cx="5936615" cy="176720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1767205"/>
                    </a:xfrm>
                    <a:prstGeom prst="rect">
                      <a:avLst/>
                    </a:prstGeom>
                    <a:noFill/>
                    <a:ln>
                      <a:noFill/>
                    </a:ln>
                  </pic:spPr>
                </pic:pic>
              </a:graphicData>
            </a:graphic>
          </wp:inline>
        </w:drawing>
      </w:r>
    </w:p>
    <w:p w:rsidR="00F3318B" w:rsidRDefault="00013867">
      <w:pPr>
        <w:rPr>
          <w:sz w:val="18"/>
          <w:szCs w:val="18"/>
        </w:rPr>
      </w:pPr>
      <w:r>
        <w:rPr>
          <w:sz w:val="18"/>
          <w:szCs w:val="18"/>
        </w:rPr>
        <w:t>Once the jobs have been extracted into a location where they can be executed, t</w:t>
      </w:r>
      <w:r w:rsidR="00F3318B">
        <w:rPr>
          <w:sz w:val="18"/>
          <w:szCs w:val="18"/>
        </w:rPr>
        <w:t xml:space="preserve">he process of running these jobs simply involves invoking the script appropriate for your environment (.bat or .sh) with the set of context parameters appropriate for the job.  The following sections describe how to set the context parameters for each of our three job types (connectors, client ETL and </w:t>
      </w:r>
      <w:proofErr w:type="spellStart"/>
      <w:r w:rsidR="00F3318B">
        <w:rPr>
          <w:sz w:val="18"/>
          <w:szCs w:val="18"/>
        </w:rPr>
        <w:t>feed_dps</w:t>
      </w:r>
      <w:proofErr w:type="spellEnd"/>
      <w:r w:rsidR="00F3318B">
        <w:rPr>
          <w:sz w:val="18"/>
          <w:szCs w:val="18"/>
        </w:rPr>
        <w:t>).</w:t>
      </w:r>
    </w:p>
    <w:p w:rsidR="00013327" w:rsidRDefault="00013327">
      <w:pPr>
        <w:rPr>
          <w:sz w:val="18"/>
          <w:szCs w:val="18"/>
        </w:rPr>
      </w:pPr>
      <w:r>
        <w:rPr>
          <w:sz w:val="18"/>
          <w:szCs w:val="18"/>
        </w:rPr>
        <w:br w:type="page"/>
      </w:r>
    </w:p>
    <w:p w:rsidR="009419D4" w:rsidRPr="00E30799" w:rsidRDefault="009419D4">
      <w:pPr>
        <w:rPr>
          <w:b/>
        </w:rPr>
      </w:pPr>
      <w:r w:rsidRPr="00E30799">
        <w:rPr>
          <w:b/>
        </w:rPr>
        <w:lastRenderedPageBreak/>
        <w:t>Connectors</w:t>
      </w:r>
    </w:p>
    <w:p w:rsidR="009419D4" w:rsidRDefault="009419D4">
      <w:pPr>
        <w:rPr>
          <w:sz w:val="18"/>
          <w:szCs w:val="18"/>
        </w:rPr>
      </w:pPr>
      <w:r w:rsidRPr="009419D4">
        <w:rPr>
          <w:sz w:val="18"/>
          <w:szCs w:val="18"/>
        </w:rPr>
        <w:t>The following context parameters are used consistently across all connector jobs:</w:t>
      </w:r>
    </w:p>
    <w:tbl>
      <w:tblPr>
        <w:tblStyle w:val="TableGrid"/>
        <w:tblW w:w="0" w:type="auto"/>
        <w:tblLook w:val="04A0" w:firstRow="1" w:lastRow="0" w:firstColumn="1" w:lastColumn="0" w:noHBand="0" w:noVBand="1"/>
      </w:tblPr>
      <w:tblGrid>
        <w:gridCol w:w="3192"/>
        <w:gridCol w:w="3192"/>
        <w:gridCol w:w="3192"/>
      </w:tblGrid>
      <w:tr w:rsidR="009419D4" w:rsidTr="009419D4">
        <w:tc>
          <w:tcPr>
            <w:tcW w:w="3192" w:type="dxa"/>
          </w:tcPr>
          <w:p w:rsidR="009419D4" w:rsidRPr="00794B45" w:rsidRDefault="009419D4" w:rsidP="00794B45">
            <w:pPr>
              <w:jc w:val="center"/>
              <w:rPr>
                <w:b/>
                <w:sz w:val="18"/>
                <w:szCs w:val="18"/>
              </w:rPr>
            </w:pPr>
            <w:r w:rsidRPr="00794B45">
              <w:rPr>
                <w:b/>
                <w:sz w:val="18"/>
                <w:szCs w:val="18"/>
              </w:rPr>
              <w:t>Parameter Name</w:t>
            </w:r>
          </w:p>
        </w:tc>
        <w:tc>
          <w:tcPr>
            <w:tcW w:w="3192" w:type="dxa"/>
          </w:tcPr>
          <w:p w:rsidR="009419D4" w:rsidRPr="00794B45" w:rsidRDefault="009419D4" w:rsidP="00794B45">
            <w:pPr>
              <w:jc w:val="center"/>
              <w:rPr>
                <w:b/>
                <w:sz w:val="18"/>
                <w:szCs w:val="18"/>
              </w:rPr>
            </w:pPr>
            <w:r w:rsidRPr="00794B45">
              <w:rPr>
                <w:b/>
                <w:sz w:val="18"/>
                <w:szCs w:val="18"/>
              </w:rPr>
              <w:t>Description</w:t>
            </w:r>
          </w:p>
        </w:tc>
        <w:tc>
          <w:tcPr>
            <w:tcW w:w="3192" w:type="dxa"/>
          </w:tcPr>
          <w:p w:rsidR="009419D4" w:rsidRPr="00794B45" w:rsidRDefault="00794B45" w:rsidP="00794B45">
            <w:pPr>
              <w:jc w:val="center"/>
              <w:rPr>
                <w:b/>
                <w:sz w:val="18"/>
                <w:szCs w:val="18"/>
              </w:rPr>
            </w:pPr>
            <w:r w:rsidRPr="00794B45">
              <w:rPr>
                <w:b/>
                <w:sz w:val="18"/>
                <w:szCs w:val="18"/>
              </w:rPr>
              <w:t>How to use when running jobs outside of DNA environment</w:t>
            </w:r>
          </w:p>
        </w:tc>
      </w:tr>
      <w:tr w:rsidR="009419D4" w:rsidTr="009419D4">
        <w:tc>
          <w:tcPr>
            <w:tcW w:w="3192" w:type="dxa"/>
          </w:tcPr>
          <w:p w:rsidR="009419D4" w:rsidRDefault="009419D4" w:rsidP="00794B45">
            <w:pPr>
              <w:jc w:val="center"/>
              <w:rPr>
                <w:sz w:val="18"/>
                <w:szCs w:val="18"/>
              </w:rPr>
            </w:pPr>
          </w:p>
        </w:tc>
        <w:tc>
          <w:tcPr>
            <w:tcW w:w="3192" w:type="dxa"/>
          </w:tcPr>
          <w:p w:rsidR="009419D4" w:rsidRDefault="009419D4">
            <w:pPr>
              <w:rPr>
                <w:sz w:val="18"/>
                <w:szCs w:val="18"/>
              </w:rPr>
            </w:pPr>
          </w:p>
        </w:tc>
        <w:tc>
          <w:tcPr>
            <w:tcW w:w="3192" w:type="dxa"/>
          </w:tcPr>
          <w:p w:rsidR="009419D4" w:rsidRDefault="009419D4">
            <w:pPr>
              <w:rPr>
                <w:sz w:val="18"/>
                <w:szCs w:val="18"/>
              </w:rPr>
            </w:pPr>
          </w:p>
        </w:tc>
      </w:tr>
      <w:tr w:rsidR="009419D4" w:rsidTr="009419D4">
        <w:tc>
          <w:tcPr>
            <w:tcW w:w="3192" w:type="dxa"/>
          </w:tcPr>
          <w:p w:rsidR="009419D4" w:rsidRDefault="00794B45" w:rsidP="00794B45">
            <w:pPr>
              <w:jc w:val="center"/>
              <w:rPr>
                <w:sz w:val="18"/>
                <w:szCs w:val="18"/>
              </w:rPr>
            </w:pPr>
            <w:r>
              <w:rPr>
                <w:sz w:val="18"/>
                <w:szCs w:val="18"/>
              </w:rPr>
              <w:t>clientId</w:t>
            </w:r>
          </w:p>
        </w:tc>
        <w:tc>
          <w:tcPr>
            <w:tcW w:w="3192" w:type="dxa"/>
          </w:tcPr>
          <w:p w:rsidR="009419D4" w:rsidRDefault="00794B45" w:rsidP="009419D4">
            <w:pPr>
              <w:rPr>
                <w:sz w:val="18"/>
                <w:szCs w:val="18"/>
              </w:rPr>
            </w:pPr>
            <w:r>
              <w:rPr>
                <w:sz w:val="18"/>
                <w:szCs w:val="18"/>
              </w:rPr>
              <w:t>T</w:t>
            </w:r>
            <w:r w:rsidR="009419D4">
              <w:rPr>
                <w:sz w:val="18"/>
                <w:szCs w:val="18"/>
              </w:rPr>
              <w:t xml:space="preserve">he </w:t>
            </w:r>
            <w:r>
              <w:rPr>
                <w:sz w:val="18"/>
                <w:szCs w:val="18"/>
              </w:rPr>
              <w:t xml:space="preserve">internal </w:t>
            </w:r>
            <w:r w:rsidR="009419D4">
              <w:rPr>
                <w:sz w:val="18"/>
                <w:szCs w:val="18"/>
              </w:rPr>
              <w:t>client identifier for which the connector is being run (e.g. anntaylor)</w:t>
            </w:r>
            <w:r>
              <w:rPr>
                <w:sz w:val="18"/>
                <w:szCs w:val="18"/>
              </w:rPr>
              <w:t>.</w:t>
            </w:r>
          </w:p>
        </w:tc>
        <w:tc>
          <w:tcPr>
            <w:tcW w:w="3192" w:type="dxa"/>
          </w:tcPr>
          <w:p w:rsidR="009419D4" w:rsidRDefault="00794B45" w:rsidP="00794B45">
            <w:pPr>
              <w:rPr>
                <w:sz w:val="18"/>
                <w:szCs w:val="18"/>
              </w:rPr>
            </w:pPr>
            <w:r w:rsidRPr="00794B45">
              <w:rPr>
                <w:b/>
                <w:sz w:val="18"/>
                <w:szCs w:val="18"/>
              </w:rPr>
              <w:t>Required</w:t>
            </w:r>
            <w:r>
              <w:rPr>
                <w:sz w:val="18"/>
                <w:szCs w:val="18"/>
              </w:rPr>
              <w:t xml:space="preserve"> for all ETL jobs, but not typically used by connectors.   An internal id should be generated for each customer account and used consistently across all job types when run for that account.</w:t>
            </w:r>
          </w:p>
        </w:tc>
      </w:tr>
      <w:tr w:rsidR="00C16578" w:rsidTr="009419D4">
        <w:tc>
          <w:tcPr>
            <w:tcW w:w="3192" w:type="dxa"/>
          </w:tcPr>
          <w:p w:rsidR="00C16578" w:rsidRDefault="00C16578" w:rsidP="00794B45">
            <w:pPr>
              <w:jc w:val="center"/>
              <w:rPr>
                <w:sz w:val="18"/>
                <w:szCs w:val="18"/>
              </w:rPr>
            </w:pPr>
            <w:r>
              <w:rPr>
                <w:sz w:val="18"/>
                <w:szCs w:val="18"/>
              </w:rPr>
              <w:t>startDate</w:t>
            </w:r>
          </w:p>
        </w:tc>
        <w:tc>
          <w:tcPr>
            <w:tcW w:w="3192" w:type="dxa"/>
          </w:tcPr>
          <w:p w:rsidR="00C16578" w:rsidRDefault="00C16578" w:rsidP="00F714C9">
            <w:pPr>
              <w:rPr>
                <w:sz w:val="18"/>
                <w:szCs w:val="18"/>
              </w:rPr>
            </w:pPr>
            <w:r>
              <w:rPr>
                <w:sz w:val="18"/>
                <w:szCs w:val="18"/>
              </w:rPr>
              <w:t xml:space="preserve">The start date of the period for which to collect data for, </w:t>
            </w:r>
            <w:r w:rsidR="00F714C9">
              <w:rPr>
                <w:sz w:val="18"/>
                <w:szCs w:val="18"/>
              </w:rPr>
              <w:t xml:space="preserve">formatted as </w:t>
            </w:r>
            <w:r>
              <w:rPr>
                <w:sz w:val="18"/>
                <w:szCs w:val="18"/>
              </w:rPr>
              <w:t>“yyyyMMdd;20180101”.</w:t>
            </w:r>
          </w:p>
        </w:tc>
        <w:tc>
          <w:tcPr>
            <w:tcW w:w="3192" w:type="dxa"/>
          </w:tcPr>
          <w:p w:rsidR="00C16578" w:rsidRDefault="00C16578">
            <w:pPr>
              <w:rPr>
                <w:b/>
                <w:sz w:val="18"/>
                <w:szCs w:val="18"/>
              </w:rPr>
            </w:pPr>
            <w:r>
              <w:rPr>
                <w:b/>
                <w:sz w:val="18"/>
                <w:szCs w:val="18"/>
              </w:rPr>
              <w:t xml:space="preserve">Required </w:t>
            </w:r>
            <w:r w:rsidRPr="00C16578">
              <w:rPr>
                <w:sz w:val="18"/>
                <w:szCs w:val="18"/>
              </w:rPr>
              <w:t>– however some connectors may provide other context values to override and or provide more resolution for the time period to collect.</w:t>
            </w:r>
          </w:p>
        </w:tc>
      </w:tr>
      <w:tr w:rsidR="00C16578" w:rsidTr="009419D4">
        <w:tc>
          <w:tcPr>
            <w:tcW w:w="3192" w:type="dxa"/>
          </w:tcPr>
          <w:p w:rsidR="00C16578" w:rsidRDefault="00C16578" w:rsidP="00794B45">
            <w:pPr>
              <w:jc w:val="center"/>
              <w:rPr>
                <w:sz w:val="18"/>
                <w:szCs w:val="18"/>
              </w:rPr>
            </w:pPr>
            <w:r>
              <w:rPr>
                <w:sz w:val="18"/>
                <w:szCs w:val="18"/>
              </w:rPr>
              <w:t>endDate</w:t>
            </w:r>
          </w:p>
        </w:tc>
        <w:tc>
          <w:tcPr>
            <w:tcW w:w="3192" w:type="dxa"/>
          </w:tcPr>
          <w:p w:rsidR="00C16578" w:rsidRDefault="00C16578" w:rsidP="00F714C9">
            <w:pPr>
              <w:rPr>
                <w:sz w:val="18"/>
                <w:szCs w:val="18"/>
              </w:rPr>
            </w:pPr>
            <w:r>
              <w:rPr>
                <w:sz w:val="18"/>
                <w:szCs w:val="18"/>
              </w:rPr>
              <w:t>The end date of the period for which to collect data for, should be formatted as “yyyyMMdd;20180101”.</w:t>
            </w:r>
          </w:p>
        </w:tc>
        <w:tc>
          <w:tcPr>
            <w:tcW w:w="3192" w:type="dxa"/>
          </w:tcPr>
          <w:p w:rsidR="00C16578" w:rsidRDefault="00C16578">
            <w:pPr>
              <w:rPr>
                <w:b/>
                <w:sz w:val="18"/>
                <w:szCs w:val="18"/>
              </w:rPr>
            </w:pPr>
            <w:r>
              <w:rPr>
                <w:b/>
                <w:sz w:val="18"/>
                <w:szCs w:val="18"/>
              </w:rPr>
              <w:t xml:space="preserve">Required </w:t>
            </w:r>
            <w:r w:rsidRPr="00C16578">
              <w:rPr>
                <w:sz w:val="18"/>
                <w:szCs w:val="18"/>
              </w:rPr>
              <w:t>– however some connectors may provide other context values to override and or provide more resolution for the time period to collect.</w:t>
            </w:r>
          </w:p>
        </w:tc>
      </w:tr>
      <w:tr w:rsidR="009419D4" w:rsidTr="009419D4">
        <w:tc>
          <w:tcPr>
            <w:tcW w:w="3192" w:type="dxa"/>
          </w:tcPr>
          <w:p w:rsidR="009419D4" w:rsidRDefault="009419D4" w:rsidP="00794B45">
            <w:pPr>
              <w:jc w:val="center"/>
              <w:rPr>
                <w:sz w:val="18"/>
                <w:szCs w:val="18"/>
              </w:rPr>
            </w:pPr>
            <w:r>
              <w:rPr>
                <w:sz w:val="18"/>
                <w:szCs w:val="18"/>
              </w:rPr>
              <w:t>outputDirectory</w:t>
            </w:r>
          </w:p>
        </w:tc>
        <w:tc>
          <w:tcPr>
            <w:tcW w:w="3192" w:type="dxa"/>
          </w:tcPr>
          <w:p w:rsidR="009419D4" w:rsidRDefault="00794B45">
            <w:pPr>
              <w:rPr>
                <w:sz w:val="18"/>
                <w:szCs w:val="18"/>
              </w:rPr>
            </w:pPr>
            <w:r>
              <w:rPr>
                <w:sz w:val="18"/>
                <w:szCs w:val="18"/>
              </w:rPr>
              <w:t>T</w:t>
            </w:r>
            <w:r w:rsidR="009419D4">
              <w:rPr>
                <w:sz w:val="18"/>
                <w:szCs w:val="18"/>
              </w:rPr>
              <w:t>he fully qualified directory to which the resulting data file will be written</w:t>
            </w:r>
          </w:p>
        </w:tc>
        <w:tc>
          <w:tcPr>
            <w:tcW w:w="3192" w:type="dxa"/>
          </w:tcPr>
          <w:p w:rsidR="009419D4" w:rsidRPr="00794B45" w:rsidRDefault="00794B45">
            <w:pPr>
              <w:rPr>
                <w:b/>
                <w:sz w:val="18"/>
                <w:szCs w:val="18"/>
              </w:rPr>
            </w:pPr>
            <w:r>
              <w:rPr>
                <w:b/>
                <w:sz w:val="18"/>
                <w:szCs w:val="18"/>
              </w:rPr>
              <w:t>R</w:t>
            </w:r>
            <w:r w:rsidR="009419D4" w:rsidRPr="00794B45">
              <w:rPr>
                <w:b/>
                <w:sz w:val="18"/>
                <w:szCs w:val="18"/>
              </w:rPr>
              <w:t>equired</w:t>
            </w:r>
            <w:r>
              <w:rPr>
                <w:b/>
                <w:sz w:val="18"/>
                <w:szCs w:val="18"/>
              </w:rPr>
              <w:t xml:space="preserve"> </w:t>
            </w:r>
            <w:r w:rsidRPr="00794B45">
              <w:rPr>
                <w:sz w:val="18"/>
                <w:szCs w:val="18"/>
              </w:rPr>
              <w:t>– set to a writable local directory</w:t>
            </w:r>
          </w:p>
        </w:tc>
      </w:tr>
      <w:tr w:rsidR="00F714C9" w:rsidTr="009419D4">
        <w:tc>
          <w:tcPr>
            <w:tcW w:w="3192" w:type="dxa"/>
          </w:tcPr>
          <w:p w:rsidR="00F714C9" w:rsidRDefault="00F714C9" w:rsidP="001F6B37">
            <w:pPr>
              <w:jc w:val="center"/>
              <w:rPr>
                <w:sz w:val="18"/>
                <w:szCs w:val="18"/>
              </w:rPr>
            </w:pPr>
            <w:r>
              <w:rPr>
                <w:sz w:val="18"/>
                <w:szCs w:val="18"/>
              </w:rPr>
              <w:t>useCallback</w:t>
            </w:r>
          </w:p>
        </w:tc>
        <w:tc>
          <w:tcPr>
            <w:tcW w:w="3192" w:type="dxa"/>
          </w:tcPr>
          <w:p w:rsidR="00F714C9" w:rsidRDefault="00F714C9" w:rsidP="001F6B37">
            <w:pPr>
              <w:rPr>
                <w:sz w:val="18"/>
                <w:szCs w:val="18"/>
              </w:rPr>
            </w:pPr>
            <w:r>
              <w:rPr>
                <w:sz w:val="18"/>
                <w:szCs w:val="18"/>
              </w:rPr>
              <w:t>Flag indicating whether to call back to the DNA platform with details about the connector execution.</w:t>
            </w:r>
          </w:p>
        </w:tc>
        <w:tc>
          <w:tcPr>
            <w:tcW w:w="3192" w:type="dxa"/>
          </w:tcPr>
          <w:p w:rsidR="00F714C9" w:rsidRDefault="00F714C9" w:rsidP="001F6B37">
            <w:pPr>
              <w:rPr>
                <w:sz w:val="18"/>
                <w:szCs w:val="18"/>
              </w:rPr>
            </w:pPr>
            <w:r w:rsidRPr="00794B45">
              <w:rPr>
                <w:b/>
                <w:sz w:val="18"/>
                <w:szCs w:val="18"/>
              </w:rPr>
              <w:t>Required</w:t>
            </w:r>
            <w:r>
              <w:rPr>
                <w:sz w:val="18"/>
                <w:szCs w:val="18"/>
              </w:rPr>
              <w:t xml:space="preserve"> - always set to false outside of DNA environment</w:t>
            </w:r>
          </w:p>
        </w:tc>
      </w:tr>
      <w:tr w:rsidR="00F714C9" w:rsidTr="009419D4">
        <w:tc>
          <w:tcPr>
            <w:tcW w:w="3192" w:type="dxa"/>
          </w:tcPr>
          <w:p w:rsidR="00F714C9" w:rsidRPr="001F4530" w:rsidRDefault="00F714C9" w:rsidP="001F6B37">
            <w:pPr>
              <w:jc w:val="center"/>
              <w:rPr>
                <w:sz w:val="20"/>
                <w:szCs w:val="20"/>
              </w:rPr>
            </w:pPr>
            <w:r w:rsidRPr="001F4530">
              <w:rPr>
                <w:sz w:val="20"/>
                <w:szCs w:val="20"/>
              </w:rPr>
              <w:t>useDsm</w:t>
            </w:r>
          </w:p>
        </w:tc>
        <w:tc>
          <w:tcPr>
            <w:tcW w:w="3192" w:type="dxa"/>
          </w:tcPr>
          <w:p w:rsidR="00F714C9" w:rsidRDefault="00F714C9" w:rsidP="001F6B37">
            <w:pPr>
              <w:rPr>
                <w:sz w:val="18"/>
                <w:szCs w:val="18"/>
              </w:rPr>
            </w:pPr>
            <w:r>
              <w:rPr>
                <w:sz w:val="18"/>
                <w:szCs w:val="18"/>
              </w:rPr>
              <w:t>Flag indicating whether to upload files to s3 via DNA’s internal dsm middleware</w:t>
            </w:r>
          </w:p>
        </w:tc>
        <w:tc>
          <w:tcPr>
            <w:tcW w:w="3192" w:type="dxa"/>
          </w:tcPr>
          <w:p w:rsidR="00F714C9" w:rsidRDefault="00F714C9" w:rsidP="001F6B37">
            <w:pPr>
              <w:rPr>
                <w:sz w:val="18"/>
                <w:szCs w:val="18"/>
              </w:rPr>
            </w:pPr>
            <w:r w:rsidRPr="00794B45">
              <w:rPr>
                <w:b/>
                <w:sz w:val="18"/>
                <w:szCs w:val="18"/>
              </w:rPr>
              <w:t>Required</w:t>
            </w:r>
            <w:r>
              <w:rPr>
                <w:sz w:val="18"/>
                <w:szCs w:val="18"/>
              </w:rPr>
              <w:t xml:space="preserve"> – always set to false outside of DNA environment</w:t>
            </w:r>
          </w:p>
        </w:tc>
      </w:tr>
      <w:tr w:rsidR="00454B5C" w:rsidTr="009419D4">
        <w:tc>
          <w:tcPr>
            <w:tcW w:w="3192" w:type="dxa"/>
          </w:tcPr>
          <w:p w:rsidR="00454B5C" w:rsidRPr="001F4530" w:rsidRDefault="00454B5C" w:rsidP="001F6B37">
            <w:pPr>
              <w:jc w:val="center"/>
              <w:rPr>
                <w:sz w:val="20"/>
                <w:szCs w:val="20"/>
              </w:rPr>
            </w:pPr>
            <w:r>
              <w:rPr>
                <w:sz w:val="20"/>
                <w:szCs w:val="20"/>
              </w:rPr>
              <w:t>fileMask</w:t>
            </w:r>
          </w:p>
        </w:tc>
        <w:tc>
          <w:tcPr>
            <w:tcW w:w="3192" w:type="dxa"/>
          </w:tcPr>
          <w:p w:rsidR="00454B5C" w:rsidRDefault="00454B5C" w:rsidP="00454B5C">
            <w:pPr>
              <w:rPr>
                <w:sz w:val="18"/>
                <w:szCs w:val="18"/>
              </w:rPr>
            </w:pPr>
            <w:r>
              <w:rPr>
                <w:sz w:val="18"/>
                <w:szCs w:val="18"/>
              </w:rPr>
              <w:t>Name of file to write collected data to (in the outputDirectory).  Note that a small number of connectors use fileName instead of fileMask, an inconsistency DNA will likely correct.</w:t>
            </w:r>
          </w:p>
        </w:tc>
        <w:tc>
          <w:tcPr>
            <w:tcW w:w="3192" w:type="dxa"/>
          </w:tcPr>
          <w:p w:rsidR="00454B5C" w:rsidRPr="00D8616F" w:rsidRDefault="00454B5C" w:rsidP="001F6B37">
            <w:pPr>
              <w:rPr>
                <w:b/>
                <w:sz w:val="18"/>
                <w:szCs w:val="18"/>
              </w:rPr>
            </w:pPr>
            <w:r w:rsidRPr="00D8616F">
              <w:rPr>
                <w:b/>
                <w:sz w:val="18"/>
                <w:szCs w:val="18"/>
              </w:rPr>
              <w:t>Required</w:t>
            </w:r>
            <w:r>
              <w:rPr>
                <w:b/>
                <w:sz w:val="18"/>
                <w:szCs w:val="18"/>
              </w:rPr>
              <w:t xml:space="preserve"> </w:t>
            </w:r>
            <w:r w:rsidRPr="00D8616F">
              <w:rPr>
                <w:sz w:val="18"/>
                <w:szCs w:val="18"/>
              </w:rPr>
              <w:t>– typically set to a filename that reflects the type of data and date for which it is collected</w:t>
            </w:r>
            <w:r>
              <w:rPr>
                <w:sz w:val="18"/>
                <w:szCs w:val="18"/>
              </w:rPr>
              <w:t xml:space="preserve"> (e.g. GoogleAnalytics_20180101)</w:t>
            </w:r>
          </w:p>
        </w:tc>
      </w:tr>
      <w:tr w:rsidR="00454B5C" w:rsidTr="009419D4">
        <w:tc>
          <w:tcPr>
            <w:tcW w:w="3192" w:type="dxa"/>
          </w:tcPr>
          <w:p w:rsidR="00454B5C" w:rsidRDefault="00454B5C" w:rsidP="00794B45">
            <w:pPr>
              <w:jc w:val="center"/>
              <w:rPr>
                <w:sz w:val="18"/>
                <w:szCs w:val="18"/>
              </w:rPr>
            </w:pPr>
            <w:r>
              <w:rPr>
                <w:sz w:val="18"/>
                <w:szCs w:val="18"/>
              </w:rPr>
              <w:t>retailerFileId</w:t>
            </w:r>
          </w:p>
        </w:tc>
        <w:tc>
          <w:tcPr>
            <w:tcW w:w="3192" w:type="dxa"/>
          </w:tcPr>
          <w:p w:rsidR="00454B5C" w:rsidRDefault="00454B5C" w:rsidP="00794B45">
            <w:pPr>
              <w:rPr>
                <w:sz w:val="18"/>
                <w:szCs w:val="18"/>
              </w:rPr>
            </w:pPr>
            <w:r>
              <w:rPr>
                <w:sz w:val="18"/>
                <w:szCs w:val="18"/>
              </w:rPr>
              <w:t>The internal identifier that reflects the DNA configuration entry that triggered this connector execution and used for reference in the call back details.</w:t>
            </w:r>
          </w:p>
        </w:tc>
        <w:tc>
          <w:tcPr>
            <w:tcW w:w="3192" w:type="dxa"/>
          </w:tcPr>
          <w:p w:rsidR="00454B5C" w:rsidRDefault="00454B5C">
            <w:pPr>
              <w:rPr>
                <w:sz w:val="18"/>
                <w:szCs w:val="18"/>
              </w:rPr>
            </w:pPr>
            <w:r>
              <w:rPr>
                <w:sz w:val="18"/>
                <w:szCs w:val="18"/>
              </w:rPr>
              <w:t>Not required when running outside of DNA environment – do not set</w:t>
            </w:r>
          </w:p>
        </w:tc>
      </w:tr>
      <w:tr w:rsidR="00454B5C" w:rsidTr="009419D4">
        <w:tc>
          <w:tcPr>
            <w:tcW w:w="3192" w:type="dxa"/>
          </w:tcPr>
          <w:p w:rsidR="00454B5C" w:rsidRPr="001F4530" w:rsidRDefault="00454B5C" w:rsidP="00794B45">
            <w:pPr>
              <w:jc w:val="center"/>
              <w:rPr>
                <w:sz w:val="18"/>
                <w:szCs w:val="18"/>
              </w:rPr>
            </w:pPr>
            <w:r w:rsidRPr="001F4530">
              <w:rPr>
                <w:sz w:val="20"/>
                <w:szCs w:val="20"/>
              </w:rPr>
              <w:t>controllerDetailsCallbackUri</w:t>
            </w:r>
          </w:p>
        </w:tc>
        <w:tc>
          <w:tcPr>
            <w:tcW w:w="3192" w:type="dxa"/>
          </w:tcPr>
          <w:p w:rsidR="00454B5C" w:rsidRDefault="00454B5C">
            <w:pPr>
              <w:rPr>
                <w:sz w:val="18"/>
                <w:szCs w:val="18"/>
              </w:rPr>
            </w:pPr>
            <w:r>
              <w:rPr>
                <w:sz w:val="18"/>
                <w:szCs w:val="18"/>
              </w:rPr>
              <w:t>Uri for calling back connector details</w:t>
            </w:r>
          </w:p>
        </w:tc>
        <w:tc>
          <w:tcPr>
            <w:tcW w:w="3192" w:type="dxa"/>
          </w:tcPr>
          <w:p w:rsidR="00454B5C" w:rsidRDefault="00454B5C">
            <w:pPr>
              <w:rPr>
                <w:sz w:val="18"/>
                <w:szCs w:val="18"/>
              </w:rPr>
            </w:pPr>
            <w:r>
              <w:rPr>
                <w:sz w:val="18"/>
                <w:szCs w:val="18"/>
              </w:rPr>
              <w:t>Not required – do not set when useCallback is false</w:t>
            </w:r>
          </w:p>
        </w:tc>
      </w:tr>
      <w:tr w:rsidR="00454B5C" w:rsidTr="009419D4">
        <w:tc>
          <w:tcPr>
            <w:tcW w:w="3192" w:type="dxa"/>
          </w:tcPr>
          <w:p w:rsidR="00454B5C" w:rsidRPr="001F4530" w:rsidRDefault="00454B5C" w:rsidP="00794B45">
            <w:pPr>
              <w:jc w:val="center"/>
              <w:rPr>
                <w:sz w:val="18"/>
                <w:szCs w:val="18"/>
              </w:rPr>
            </w:pPr>
            <w:r w:rsidRPr="001F4530">
              <w:rPr>
                <w:sz w:val="20"/>
                <w:szCs w:val="20"/>
              </w:rPr>
              <w:t>controllerFileCallbackUri</w:t>
            </w:r>
          </w:p>
        </w:tc>
        <w:tc>
          <w:tcPr>
            <w:tcW w:w="3192" w:type="dxa"/>
          </w:tcPr>
          <w:p w:rsidR="00454B5C" w:rsidRDefault="00454B5C">
            <w:pPr>
              <w:rPr>
                <w:sz w:val="18"/>
                <w:szCs w:val="18"/>
              </w:rPr>
            </w:pPr>
            <w:r>
              <w:rPr>
                <w:sz w:val="18"/>
                <w:szCs w:val="18"/>
              </w:rPr>
              <w:t>Uri for calling back with file details</w:t>
            </w:r>
          </w:p>
        </w:tc>
        <w:tc>
          <w:tcPr>
            <w:tcW w:w="3192" w:type="dxa"/>
          </w:tcPr>
          <w:p w:rsidR="00454B5C" w:rsidRDefault="00454B5C">
            <w:pPr>
              <w:rPr>
                <w:sz w:val="18"/>
                <w:szCs w:val="18"/>
              </w:rPr>
            </w:pPr>
            <w:r>
              <w:rPr>
                <w:sz w:val="18"/>
                <w:szCs w:val="18"/>
              </w:rPr>
              <w:t>Not required – do not set when useCallback is false</w:t>
            </w:r>
          </w:p>
        </w:tc>
      </w:tr>
      <w:tr w:rsidR="00454B5C" w:rsidTr="009419D4">
        <w:tc>
          <w:tcPr>
            <w:tcW w:w="3192" w:type="dxa"/>
          </w:tcPr>
          <w:p w:rsidR="00454B5C" w:rsidRPr="001F4530" w:rsidRDefault="00454B5C" w:rsidP="00794B45">
            <w:pPr>
              <w:jc w:val="center"/>
              <w:rPr>
                <w:sz w:val="20"/>
                <w:szCs w:val="20"/>
              </w:rPr>
            </w:pPr>
            <w:r w:rsidRPr="001F4530">
              <w:rPr>
                <w:sz w:val="20"/>
                <w:szCs w:val="20"/>
              </w:rPr>
              <w:t>dsmEndPoint</w:t>
            </w:r>
          </w:p>
        </w:tc>
        <w:tc>
          <w:tcPr>
            <w:tcW w:w="3192" w:type="dxa"/>
          </w:tcPr>
          <w:p w:rsidR="00454B5C" w:rsidRDefault="00454B5C" w:rsidP="001F4530">
            <w:pPr>
              <w:rPr>
                <w:sz w:val="18"/>
                <w:szCs w:val="18"/>
              </w:rPr>
            </w:pPr>
            <w:r>
              <w:rPr>
                <w:sz w:val="18"/>
                <w:szCs w:val="18"/>
              </w:rPr>
              <w:t>DSM end point</w:t>
            </w:r>
          </w:p>
        </w:tc>
        <w:tc>
          <w:tcPr>
            <w:tcW w:w="3192" w:type="dxa"/>
          </w:tcPr>
          <w:p w:rsidR="00454B5C" w:rsidRDefault="00454B5C">
            <w:pPr>
              <w:rPr>
                <w:sz w:val="18"/>
                <w:szCs w:val="18"/>
              </w:rPr>
            </w:pPr>
            <w:r>
              <w:rPr>
                <w:sz w:val="18"/>
                <w:szCs w:val="18"/>
              </w:rPr>
              <w:t>Not required – do not set when useDsm is false</w:t>
            </w:r>
          </w:p>
        </w:tc>
      </w:tr>
    </w:tbl>
    <w:p w:rsidR="009419D4" w:rsidRDefault="009419D4">
      <w:pPr>
        <w:rPr>
          <w:sz w:val="18"/>
          <w:szCs w:val="18"/>
        </w:rPr>
      </w:pPr>
    </w:p>
    <w:p w:rsidR="009419D4" w:rsidRDefault="00F714C9">
      <w:pPr>
        <w:rPr>
          <w:sz w:val="18"/>
          <w:szCs w:val="18"/>
        </w:rPr>
      </w:pPr>
      <w:r>
        <w:rPr>
          <w:sz w:val="18"/>
          <w:szCs w:val="18"/>
        </w:rPr>
        <w:t xml:space="preserve">In addition to the set of context parameters that are standard across all connectors, each connector will have specific context parameters that must be set in order to collect data.  Credentials, end points and data values to retrieve are all examples of additional configuration that connectors may require.  Full details for each connector can be found in the detailed documentation specific to each connector.  </w:t>
      </w:r>
    </w:p>
    <w:p w:rsidR="00375297" w:rsidRDefault="00375297">
      <w:pPr>
        <w:rPr>
          <w:sz w:val="18"/>
          <w:szCs w:val="18"/>
        </w:rPr>
      </w:pPr>
      <w:r>
        <w:rPr>
          <w:sz w:val="18"/>
          <w:szCs w:val="18"/>
        </w:rPr>
        <w:t>Example of running a connector:</w:t>
      </w:r>
    </w:p>
    <w:p w:rsidR="00375297" w:rsidRDefault="00375297">
      <w:pPr>
        <w:rPr>
          <w:sz w:val="18"/>
          <w:szCs w:val="18"/>
        </w:rPr>
      </w:pPr>
      <w:r>
        <w:rPr>
          <w:noProof/>
        </w:rPr>
        <w:lastRenderedPageBreak/>
        <w:drawing>
          <wp:inline distT="0" distB="0" distL="0" distR="0">
            <wp:extent cx="5943600" cy="2338571"/>
            <wp:effectExtent l="0" t="0" r="0" b="5080"/>
            <wp:docPr id="2" name="Picture 2" descr="https://s3.amazonaws.com/uploads.hipchat.com/28453/851741/I2CxNcevzvctD1L/bazaa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uploads.hipchat.com/28453/851741/I2CxNcevzvctD1L/bazaar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8571"/>
                    </a:xfrm>
                    <a:prstGeom prst="rect">
                      <a:avLst/>
                    </a:prstGeom>
                    <a:noFill/>
                    <a:ln>
                      <a:noFill/>
                    </a:ln>
                  </pic:spPr>
                </pic:pic>
              </a:graphicData>
            </a:graphic>
          </wp:inline>
        </w:drawing>
      </w:r>
    </w:p>
    <w:p w:rsidR="00375297" w:rsidRDefault="00375297">
      <w:pPr>
        <w:rPr>
          <w:sz w:val="18"/>
          <w:szCs w:val="18"/>
        </w:rPr>
      </w:pPr>
      <w:r>
        <w:rPr>
          <w:noProof/>
        </w:rPr>
        <w:drawing>
          <wp:inline distT="0" distB="0" distL="0" distR="0">
            <wp:extent cx="5943600" cy="2103398"/>
            <wp:effectExtent l="0" t="0" r="0" b="0"/>
            <wp:docPr id="3" name="Picture 3" descr="https://s3.amazonaws.com/uploads.hipchat.com/28453/851741/yMcegss3IlVjhJW/baza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uploads.hipchat.com/28453/851741/yMcegss3IlVjhJW/bazaar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3398"/>
                    </a:xfrm>
                    <a:prstGeom prst="rect">
                      <a:avLst/>
                    </a:prstGeom>
                    <a:noFill/>
                    <a:ln>
                      <a:noFill/>
                    </a:ln>
                  </pic:spPr>
                </pic:pic>
              </a:graphicData>
            </a:graphic>
          </wp:inline>
        </w:drawing>
      </w:r>
    </w:p>
    <w:p w:rsidR="00013327" w:rsidRDefault="00013327">
      <w:pPr>
        <w:rPr>
          <w:sz w:val="18"/>
          <w:szCs w:val="18"/>
        </w:rPr>
      </w:pPr>
      <w:r>
        <w:rPr>
          <w:sz w:val="18"/>
          <w:szCs w:val="18"/>
        </w:rPr>
        <w:br w:type="page"/>
      </w:r>
    </w:p>
    <w:p w:rsidR="00F714C9" w:rsidRPr="00E30799" w:rsidRDefault="00454B5C">
      <w:pPr>
        <w:rPr>
          <w:b/>
        </w:rPr>
      </w:pPr>
      <w:r w:rsidRPr="00E30799">
        <w:rPr>
          <w:b/>
        </w:rPr>
        <w:lastRenderedPageBreak/>
        <w:t>Client ETL Jobs</w:t>
      </w:r>
    </w:p>
    <w:p w:rsidR="00454B5C" w:rsidRPr="00454B5C" w:rsidRDefault="00203883">
      <w:pPr>
        <w:rPr>
          <w:sz w:val="18"/>
          <w:szCs w:val="18"/>
        </w:rPr>
      </w:pPr>
      <w:r>
        <w:rPr>
          <w:sz w:val="18"/>
          <w:szCs w:val="18"/>
        </w:rPr>
        <w:t>Client ETL jobs execute against a single input file that was collected for a client to produce one or more fragments.  Like connectors, c</w:t>
      </w:r>
      <w:r w:rsidR="00454B5C" w:rsidRPr="00454B5C">
        <w:rPr>
          <w:sz w:val="18"/>
          <w:szCs w:val="18"/>
        </w:rPr>
        <w:t xml:space="preserve">lient </w:t>
      </w:r>
      <w:r>
        <w:rPr>
          <w:sz w:val="18"/>
          <w:szCs w:val="18"/>
        </w:rPr>
        <w:t>E</w:t>
      </w:r>
      <w:r w:rsidR="00454B5C" w:rsidRPr="00454B5C">
        <w:rPr>
          <w:sz w:val="18"/>
          <w:szCs w:val="18"/>
        </w:rPr>
        <w:t>TL jobs also have a set of context parameters that</w:t>
      </w:r>
      <w:r>
        <w:rPr>
          <w:sz w:val="18"/>
          <w:szCs w:val="18"/>
        </w:rPr>
        <w:t xml:space="preserve"> are consistent across all jobs:</w:t>
      </w:r>
    </w:p>
    <w:tbl>
      <w:tblPr>
        <w:tblStyle w:val="TableGrid"/>
        <w:tblW w:w="0" w:type="auto"/>
        <w:tblLook w:val="04A0" w:firstRow="1" w:lastRow="0" w:firstColumn="1" w:lastColumn="0" w:noHBand="0" w:noVBand="1"/>
      </w:tblPr>
      <w:tblGrid>
        <w:gridCol w:w="3192"/>
        <w:gridCol w:w="3192"/>
        <w:gridCol w:w="3192"/>
      </w:tblGrid>
      <w:tr w:rsidR="00454B5C" w:rsidRPr="00794B45" w:rsidTr="001F6B37">
        <w:tc>
          <w:tcPr>
            <w:tcW w:w="3192" w:type="dxa"/>
          </w:tcPr>
          <w:p w:rsidR="00454B5C" w:rsidRPr="00794B45" w:rsidRDefault="00454B5C" w:rsidP="001F6B37">
            <w:pPr>
              <w:jc w:val="center"/>
              <w:rPr>
                <w:b/>
                <w:sz w:val="18"/>
                <w:szCs w:val="18"/>
              </w:rPr>
            </w:pPr>
            <w:r w:rsidRPr="00794B45">
              <w:rPr>
                <w:b/>
                <w:sz w:val="18"/>
                <w:szCs w:val="18"/>
              </w:rPr>
              <w:t>Parameter Name</w:t>
            </w:r>
          </w:p>
        </w:tc>
        <w:tc>
          <w:tcPr>
            <w:tcW w:w="3192" w:type="dxa"/>
          </w:tcPr>
          <w:p w:rsidR="00454B5C" w:rsidRPr="00794B45" w:rsidRDefault="00454B5C" w:rsidP="001F6B37">
            <w:pPr>
              <w:jc w:val="center"/>
              <w:rPr>
                <w:b/>
                <w:sz w:val="18"/>
                <w:szCs w:val="18"/>
              </w:rPr>
            </w:pPr>
            <w:r w:rsidRPr="00794B45">
              <w:rPr>
                <w:b/>
                <w:sz w:val="18"/>
                <w:szCs w:val="18"/>
              </w:rPr>
              <w:t>Description</w:t>
            </w:r>
          </w:p>
        </w:tc>
        <w:tc>
          <w:tcPr>
            <w:tcW w:w="3192" w:type="dxa"/>
          </w:tcPr>
          <w:p w:rsidR="00454B5C" w:rsidRPr="00794B45" w:rsidRDefault="00454B5C" w:rsidP="001F6B37">
            <w:pPr>
              <w:jc w:val="center"/>
              <w:rPr>
                <w:b/>
                <w:sz w:val="18"/>
                <w:szCs w:val="18"/>
              </w:rPr>
            </w:pPr>
            <w:r w:rsidRPr="00794B45">
              <w:rPr>
                <w:b/>
                <w:sz w:val="18"/>
                <w:szCs w:val="18"/>
              </w:rPr>
              <w:t>How to use when running jobs outside of DNA environment</w:t>
            </w:r>
          </w:p>
        </w:tc>
      </w:tr>
      <w:tr w:rsidR="00454B5C" w:rsidTr="001F6B37">
        <w:tc>
          <w:tcPr>
            <w:tcW w:w="3192" w:type="dxa"/>
          </w:tcPr>
          <w:p w:rsidR="00454B5C" w:rsidRDefault="00454B5C" w:rsidP="001F6B37">
            <w:pPr>
              <w:jc w:val="center"/>
              <w:rPr>
                <w:sz w:val="18"/>
                <w:szCs w:val="18"/>
              </w:rPr>
            </w:pPr>
          </w:p>
        </w:tc>
        <w:tc>
          <w:tcPr>
            <w:tcW w:w="3192" w:type="dxa"/>
          </w:tcPr>
          <w:p w:rsidR="00454B5C" w:rsidRDefault="00454B5C" w:rsidP="001F6B37">
            <w:pPr>
              <w:rPr>
                <w:sz w:val="18"/>
                <w:szCs w:val="18"/>
              </w:rPr>
            </w:pPr>
          </w:p>
        </w:tc>
        <w:tc>
          <w:tcPr>
            <w:tcW w:w="3192" w:type="dxa"/>
          </w:tcPr>
          <w:p w:rsidR="00454B5C" w:rsidRDefault="00454B5C" w:rsidP="001F6B37">
            <w:pPr>
              <w:rPr>
                <w:sz w:val="18"/>
                <w:szCs w:val="18"/>
              </w:rPr>
            </w:pPr>
          </w:p>
        </w:tc>
      </w:tr>
      <w:tr w:rsidR="00454B5C" w:rsidTr="001F6B37">
        <w:tc>
          <w:tcPr>
            <w:tcW w:w="3192" w:type="dxa"/>
          </w:tcPr>
          <w:p w:rsidR="00454B5C" w:rsidRDefault="00454B5C" w:rsidP="001F6B37">
            <w:pPr>
              <w:jc w:val="center"/>
              <w:rPr>
                <w:sz w:val="18"/>
                <w:szCs w:val="18"/>
              </w:rPr>
            </w:pPr>
            <w:r>
              <w:rPr>
                <w:sz w:val="18"/>
                <w:szCs w:val="18"/>
              </w:rPr>
              <w:t>clientId</w:t>
            </w:r>
          </w:p>
        </w:tc>
        <w:tc>
          <w:tcPr>
            <w:tcW w:w="3192" w:type="dxa"/>
          </w:tcPr>
          <w:p w:rsidR="00454B5C" w:rsidRDefault="00454B5C" w:rsidP="00DF1495">
            <w:pPr>
              <w:rPr>
                <w:sz w:val="18"/>
                <w:szCs w:val="18"/>
              </w:rPr>
            </w:pPr>
            <w:r>
              <w:rPr>
                <w:sz w:val="18"/>
                <w:szCs w:val="18"/>
              </w:rPr>
              <w:t xml:space="preserve">The internal client identifier for which the </w:t>
            </w:r>
            <w:r w:rsidR="00DF1495">
              <w:rPr>
                <w:sz w:val="18"/>
                <w:szCs w:val="18"/>
              </w:rPr>
              <w:t>client ETL job</w:t>
            </w:r>
            <w:r>
              <w:rPr>
                <w:sz w:val="18"/>
                <w:szCs w:val="18"/>
              </w:rPr>
              <w:t xml:space="preserve"> is being run (e.g. anntaylor).</w:t>
            </w:r>
          </w:p>
        </w:tc>
        <w:tc>
          <w:tcPr>
            <w:tcW w:w="3192" w:type="dxa"/>
          </w:tcPr>
          <w:p w:rsidR="00454B5C" w:rsidRDefault="00454B5C" w:rsidP="00203883">
            <w:pPr>
              <w:rPr>
                <w:sz w:val="18"/>
                <w:szCs w:val="18"/>
              </w:rPr>
            </w:pPr>
            <w:r w:rsidRPr="00794B45">
              <w:rPr>
                <w:b/>
                <w:sz w:val="18"/>
                <w:szCs w:val="18"/>
              </w:rPr>
              <w:t>Required</w:t>
            </w:r>
            <w:r>
              <w:rPr>
                <w:sz w:val="18"/>
                <w:szCs w:val="18"/>
              </w:rPr>
              <w:t xml:space="preserve"> for all ETL </w:t>
            </w:r>
            <w:proofErr w:type="gramStart"/>
            <w:r>
              <w:rPr>
                <w:sz w:val="18"/>
                <w:szCs w:val="18"/>
              </w:rPr>
              <w:t>jobs,</w:t>
            </w:r>
            <w:proofErr w:type="gramEnd"/>
            <w:r>
              <w:rPr>
                <w:sz w:val="18"/>
                <w:szCs w:val="18"/>
              </w:rPr>
              <w:t xml:space="preserve"> </w:t>
            </w:r>
            <w:r w:rsidR="00203883">
              <w:rPr>
                <w:sz w:val="18"/>
                <w:szCs w:val="18"/>
              </w:rPr>
              <w:t xml:space="preserve">rarely used by client ETL jobs (typically </w:t>
            </w:r>
            <w:r w:rsidR="00375297">
              <w:rPr>
                <w:sz w:val="18"/>
                <w:szCs w:val="18"/>
              </w:rPr>
              <w:t xml:space="preserve">only </w:t>
            </w:r>
            <w:r w:rsidR="00203883">
              <w:rPr>
                <w:sz w:val="18"/>
                <w:szCs w:val="18"/>
              </w:rPr>
              <w:t>when a single etl job services multiple accounts for the same customer)</w:t>
            </w:r>
            <w:r>
              <w:rPr>
                <w:sz w:val="18"/>
                <w:szCs w:val="18"/>
              </w:rPr>
              <w:t>.   An internal id should be generated for each customer account and used consistently across all job types when run for that account.</w:t>
            </w:r>
          </w:p>
        </w:tc>
      </w:tr>
      <w:tr w:rsidR="00454B5C" w:rsidTr="001F6B37">
        <w:tc>
          <w:tcPr>
            <w:tcW w:w="3192" w:type="dxa"/>
          </w:tcPr>
          <w:p w:rsidR="00454B5C" w:rsidRDefault="00454B5C" w:rsidP="001F6B37">
            <w:pPr>
              <w:jc w:val="center"/>
              <w:rPr>
                <w:sz w:val="18"/>
                <w:szCs w:val="18"/>
              </w:rPr>
            </w:pPr>
            <w:r>
              <w:rPr>
                <w:sz w:val="18"/>
                <w:szCs w:val="18"/>
              </w:rPr>
              <w:t>startDate</w:t>
            </w:r>
          </w:p>
        </w:tc>
        <w:tc>
          <w:tcPr>
            <w:tcW w:w="3192" w:type="dxa"/>
          </w:tcPr>
          <w:p w:rsidR="00454B5C" w:rsidRDefault="00454B5C" w:rsidP="00203883">
            <w:pPr>
              <w:rPr>
                <w:sz w:val="18"/>
                <w:szCs w:val="18"/>
              </w:rPr>
            </w:pPr>
            <w:r>
              <w:rPr>
                <w:sz w:val="18"/>
                <w:szCs w:val="18"/>
              </w:rPr>
              <w:t xml:space="preserve">The start date of the period </w:t>
            </w:r>
            <w:r w:rsidR="00203883">
              <w:rPr>
                <w:sz w:val="18"/>
                <w:szCs w:val="18"/>
              </w:rPr>
              <w:t>for which the data in the input file was collected for</w:t>
            </w:r>
            <w:r>
              <w:rPr>
                <w:sz w:val="18"/>
                <w:szCs w:val="18"/>
              </w:rPr>
              <w:t>, formatted as “yyyyMMdd;20180101”.</w:t>
            </w:r>
          </w:p>
        </w:tc>
        <w:tc>
          <w:tcPr>
            <w:tcW w:w="3192" w:type="dxa"/>
          </w:tcPr>
          <w:p w:rsidR="00454B5C" w:rsidRDefault="00454B5C" w:rsidP="00203883">
            <w:pPr>
              <w:rPr>
                <w:b/>
                <w:sz w:val="18"/>
                <w:szCs w:val="18"/>
              </w:rPr>
            </w:pPr>
            <w:r>
              <w:rPr>
                <w:b/>
                <w:sz w:val="18"/>
                <w:szCs w:val="18"/>
              </w:rPr>
              <w:t>Required</w:t>
            </w:r>
          </w:p>
        </w:tc>
      </w:tr>
      <w:tr w:rsidR="00454B5C" w:rsidTr="001F6B37">
        <w:tc>
          <w:tcPr>
            <w:tcW w:w="3192" w:type="dxa"/>
          </w:tcPr>
          <w:p w:rsidR="00454B5C" w:rsidRDefault="00454B5C" w:rsidP="001F6B37">
            <w:pPr>
              <w:jc w:val="center"/>
              <w:rPr>
                <w:sz w:val="18"/>
                <w:szCs w:val="18"/>
              </w:rPr>
            </w:pPr>
            <w:r>
              <w:rPr>
                <w:sz w:val="18"/>
                <w:szCs w:val="18"/>
              </w:rPr>
              <w:t>endDate</w:t>
            </w:r>
          </w:p>
        </w:tc>
        <w:tc>
          <w:tcPr>
            <w:tcW w:w="3192" w:type="dxa"/>
          </w:tcPr>
          <w:p w:rsidR="00454B5C" w:rsidRDefault="00454B5C" w:rsidP="00203883">
            <w:pPr>
              <w:rPr>
                <w:sz w:val="18"/>
                <w:szCs w:val="18"/>
              </w:rPr>
            </w:pPr>
            <w:r>
              <w:rPr>
                <w:sz w:val="18"/>
                <w:szCs w:val="18"/>
              </w:rPr>
              <w:t xml:space="preserve">The end date of the period for which </w:t>
            </w:r>
            <w:r w:rsidR="00203883">
              <w:rPr>
                <w:sz w:val="18"/>
                <w:szCs w:val="18"/>
              </w:rPr>
              <w:t xml:space="preserve">the data in the input file was collected </w:t>
            </w:r>
            <w:r>
              <w:rPr>
                <w:sz w:val="18"/>
                <w:szCs w:val="18"/>
              </w:rPr>
              <w:t>for, should be formatted as “yyyyMMdd;20180101”.</w:t>
            </w:r>
          </w:p>
        </w:tc>
        <w:tc>
          <w:tcPr>
            <w:tcW w:w="3192" w:type="dxa"/>
          </w:tcPr>
          <w:p w:rsidR="00454B5C" w:rsidRDefault="00454B5C" w:rsidP="00203883">
            <w:pPr>
              <w:rPr>
                <w:b/>
                <w:sz w:val="18"/>
                <w:szCs w:val="18"/>
              </w:rPr>
            </w:pPr>
            <w:r>
              <w:rPr>
                <w:b/>
                <w:sz w:val="18"/>
                <w:szCs w:val="18"/>
              </w:rPr>
              <w:t>Required</w:t>
            </w:r>
          </w:p>
        </w:tc>
      </w:tr>
      <w:tr w:rsidR="00203883" w:rsidRPr="00794B45" w:rsidTr="001F6B37">
        <w:tc>
          <w:tcPr>
            <w:tcW w:w="3192" w:type="dxa"/>
          </w:tcPr>
          <w:p w:rsidR="00203883" w:rsidRDefault="00203883" w:rsidP="001F6B37">
            <w:pPr>
              <w:jc w:val="center"/>
              <w:rPr>
                <w:sz w:val="18"/>
                <w:szCs w:val="18"/>
              </w:rPr>
            </w:pPr>
            <w:r>
              <w:rPr>
                <w:sz w:val="18"/>
                <w:szCs w:val="18"/>
              </w:rPr>
              <w:t>file</w:t>
            </w:r>
          </w:p>
        </w:tc>
        <w:tc>
          <w:tcPr>
            <w:tcW w:w="3192" w:type="dxa"/>
          </w:tcPr>
          <w:p w:rsidR="00203883" w:rsidRDefault="00203883" w:rsidP="00203883">
            <w:pPr>
              <w:rPr>
                <w:sz w:val="18"/>
                <w:szCs w:val="18"/>
              </w:rPr>
            </w:pPr>
            <w:r>
              <w:rPr>
                <w:sz w:val="18"/>
                <w:szCs w:val="18"/>
              </w:rPr>
              <w:t xml:space="preserve">The file name of the input file to process.  </w:t>
            </w:r>
          </w:p>
        </w:tc>
        <w:tc>
          <w:tcPr>
            <w:tcW w:w="3192" w:type="dxa"/>
          </w:tcPr>
          <w:p w:rsidR="00203883" w:rsidRDefault="00203883" w:rsidP="001F6B37">
            <w:pPr>
              <w:rPr>
                <w:b/>
                <w:sz w:val="18"/>
                <w:szCs w:val="18"/>
              </w:rPr>
            </w:pPr>
            <w:r>
              <w:rPr>
                <w:b/>
                <w:sz w:val="18"/>
                <w:szCs w:val="18"/>
              </w:rPr>
              <w:t xml:space="preserve">Required </w:t>
            </w:r>
            <w:r w:rsidRPr="00203883">
              <w:rPr>
                <w:sz w:val="18"/>
                <w:szCs w:val="18"/>
              </w:rPr>
              <w:t>– do not full</w:t>
            </w:r>
            <w:r w:rsidR="007269C4">
              <w:rPr>
                <w:sz w:val="18"/>
                <w:szCs w:val="18"/>
              </w:rPr>
              <w:t>y</w:t>
            </w:r>
            <w:r w:rsidRPr="00203883">
              <w:rPr>
                <w:sz w:val="18"/>
                <w:szCs w:val="18"/>
              </w:rPr>
              <w:t xml:space="preserve"> qualify as value is combined with inputDirectory to form the full path of the input file</w:t>
            </w:r>
          </w:p>
        </w:tc>
      </w:tr>
      <w:tr w:rsidR="00203883" w:rsidRPr="00794B45" w:rsidTr="001F6B37">
        <w:tc>
          <w:tcPr>
            <w:tcW w:w="3192" w:type="dxa"/>
          </w:tcPr>
          <w:p w:rsidR="00203883" w:rsidRDefault="00203883" w:rsidP="001F6B37">
            <w:pPr>
              <w:jc w:val="center"/>
              <w:rPr>
                <w:sz w:val="18"/>
                <w:szCs w:val="18"/>
              </w:rPr>
            </w:pPr>
            <w:r>
              <w:rPr>
                <w:sz w:val="18"/>
                <w:szCs w:val="18"/>
              </w:rPr>
              <w:t>inputDirectory</w:t>
            </w:r>
          </w:p>
        </w:tc>
        <w:tc>
          <w:tcPr>
            <w:tcW w:w="3192" w:type="dxa"/>
          </w:tcPr>
          <w:p w:rsidR="00203883" w:rsidRDefault="00203883" w:rsidP="00203883">
            <w:pPr>
              <w:rPr>
                <w:sz w:val="18"/>
                <w:szCs w:val="18"/>
              </w:rPr>
            </w:pPr>
            <w:r>
              <w:rPr>
                <w:sz w:val="18"/>
                <w:szCs w:val="18"/>
              </w:rPr>
              <w:t>The fully qualified directory in which the input file will be located.</w:t>
            </w:r>
          </w:p>
        </w:tc>
        <w:tc>
          <w:tcPr>
            <w:tcW w:w="3192" w:type="dxa"/>
          </w:tcPr>
          <w:p w:rsidR="00203883" w:rsidRDefault="00203883" w:rsidP="001F6B37">
            <w:pPr>
              <w:rPr>
                <w:b/>
                <w:sz w:val="18"/>
                <w:szCs w:val="18"/>
              </w:rPr>
            </w:pPr>
            <w:r>
              <w:rPr>
                <w:b/>
                <w:sz w:val="18"/>
                <w:szCs w:val="18"/>
              </w:rPr>
              <w:t xml:space="preserve">Required </w:t>
            </w:r>
            <w:r w:rsidRPr="00203883">
              <w:rPr>
                <w:sz w:val="18"/>
                <w:szCs w:val="18"/>
              </w:rPr>
              <w:t>– set to the local directory where the input file exists</w:t>
            </w:r>
          </w:p>
        </w:tc>
      </w:tr>
      <w:tr w:rsidR="00454B5C" w:rsidRPr="00794B45" w:rsidTr="001F6B37">
        <w:tc>
          <w:tcPr>
            <w:tcW w:w="3192" w:type="dxa"/>
          </w:tcPr>
          <w:p w:rsidR="00454B5C" w:rsidRDefault="00454B5C" w:rsidP="001F6B37">
            <w:pPr>
              <w:jc w:val="center"/>
              <w:rPr>
                <w:sz w:val="18"/>
                <w:szCs w:val="18"/>
              </w:rPr>
            </w:pPr>
            <w:r>
              <w:rPr>
                <w:sz w:val="18"/>
                <w:szCs w:val="18"/>
              </w:rPr>
              <w:t>outputDirectory</w:t>
            </w:r>
          </w:p>
        </w:tc>
        <w:tc>
          <w:tcPr>
            <w:tcW w:w="3192" w:type="dxa"/>
          </w:tcPr>
          <w:p w:rsidR="00454B5C" w:rsidRDefault="00454B5C" w:rsidP="00203883">
            <w:pPr>
              <w:rPr>
                <w:sz w:val="18"/>
                <w:szCs w:val="18"/>
              </w:rPr>
            </w:pPr>
            <w:r>
              <w:rPr>
                <w:sz w:val="18"/>
                <w:szCs w:val="18"/>
              </w:rPr>
              <w:t xml:space="preserve">The fully qualified directory to which the resulting </w:t>
            </w:r>
            <w:r w:rsidR="00203883">
              <w:rPr>
                <w:sz w:val="18"/>
                <w:szCs w:val="18"/>
              </w:rPr>
              <w:t>fragment data files will be written to.</w:t>
            </w:r>
          </w:p>
        </w:tc>
        <w:tc>
          <w:tcPr>
            <w:tcW w:w="3192" w:type="dxa"/>
          </w:tcPr>
          <w:p w:rsidR="00454B5C" w:rsidRPr="00794B45" w:rsidRDefault="00454B5C" w:rsidP="001F6B37">
            <w:pPr>
              <w:rPr>
                <w:b/>
                <w:sz w:val="18"/>
                <w:szCs w:val="18"/>
              </w:rPr>
            </w:pPr>
            <w:r>
              <w:rPr>
                <w:b/>
                <w:sz w:val="18"/>
                <w:szCs w:val="18"/>
              </w:rPr>
              <w:t>R</w:t>
            </w:r>
            <w:r w:rsidRPr="00794B45">
              <w:rPr>
                <w:b/>
                <w:sz w:val="18"/>
                <w:szCs w:val="18"/>
              </w:rPr>
              <w:t>equired</w:t>
            </w:r>
            <w:r>
              <w:rPr>
                <w:b/>
                <w:sz w:val="18"/>
                <w:szCs w:val="18"/>
              </w:rPr>
              <w:t xml:space="preserve"> </w:t>
            </w:r>
            <w:r w:rsidRPr="00794B45">
              <w:rPr>
                <w:sz w:val="18"/>
                <w:szCs w:val="18"/>
              </w:rPr>
              <w:t>– set to a writable local directory</w:t>
            </w:r>
          </w:p>
        </w:tc>
      </w:tr>
      <w:tr w:rsidR="00454B5C" w:rsidTr="001F6B37">
        <w:tc>
          <w:tcPr>
            <w:tcW w:w="3192" w:type="dxa"/>
          </w:tcPr>
          <w:p w:rsidR="00454B5C" w:rsidRDefault="00454B5C" w:rsidP="001F6B37">
            <w:pPr>
              <w:jc w:val="center"/>
              <w:rPr>
                <w:sz w:val="18"/>
                <w:szCs w:val="18"/>
              </w:rPr>
            </w:pPr>
            <w:r>
              <w:rPr>
                <w:sz w:val="18"/>
                <w:szCs w:val="18"/>
              </w:rPr>
              <w:t>useCallback</w:t>
            </w:r>
          </w:p>
        </w:tc>
        <w:tc>
          <w:tcPr>
            <w:tcW w:w="3192" w:type="dxa"/>
          </w:tcPr>
          <w:p w:rsidR="00454B5C" w:rsidRDefault="00454B5C" w:rsidP="00203883">
            <w:pPr>
              <w:rPr>
                <w:sz w:val="18"/>
                <w:szCs w:val="18"/>
              </w:rPr>
            </w:pPr>
            <w:r>
              <w:rPr>
                <w:sz w:val="18"/>
                <w:szCs w:val="18"/>
              </w:rPr>
              <w:t xml:space="preserve">Flag indicating whether to call back to the DNA platform with details about the </w:t>
            </w:r>
            <w:r w:rsidR="00203883">
              <w:rPr>
                <w:sz w:val="18"/>
                <w:szCs w:val="18"/>
              </w:rPr>
              <w:t>client etl job</w:t>
            </w:r>
            <w:r>
              <w:rPr>
                <w:sz w:val="18"/>
                <w:szCs w:val="18"/>
              </w:rPr>
              <w:t xml:space="preserve"> execution.</w:t>
            </w:r>
          </w:p>
        </w:tc>
        <w:tc>
          <w:tcPr>
            <w:tcW w:w="3192" w:type="dxa"/>
          </w:tcPr>
          <w:p w:rsidR="00454B5C" w:rsidRDefault="00454B5C" w:rsidP="001F6B37">
            <w:pPr>
              <w:rPr>
                <w:sz w:val="18"/>
                <w:szCs w:val="18"/>
              </w:rPr>
            </w:pPr>
            <w:r w:rsidRPr="00794B45">
              <w:rPr>
                <w:b/>
                <w:sz w:val="18"/>
                <w:szCs w:val="18"/>
              </w:rPr>
              <w:t>Required</w:t>
            </w:r>
            <w:r>
              <w:rPr>
                <w:sz w:val="18"/>
                <w:szCs w:val="18"/>
              </w:rPr>
              <w:t xml:space="preserve"> - always set to false outside of DNA environment</w:t>
            </w:r>
          </w:p>
        </w:tc>
      </w:tr>
      <w:tr w:rsidR="00454B5C" w:rsidTr="001F6B37">
        <w:tc>
          <w:tcPr>
            <w:tcW w:w="3192" w:type="dxa"/>
          </w:tcPr>
          <w:p w:rsidR="00454B5C" w:rsidRPr="001F4530" w:rsidRDefault="00454B5C" w:rsidP="001F6B37">
            <w:pPr>
              <w:jc w:val="center"/>
              <w:rPr>
                <w:sz w:val="20"/>
                <w:szCs w:val="20"/>
              </w:rPr>
            </w:pPr>
            <w:r w:rsidRPr="001F4530">
              <w:rPr>
                <w:sz w:val="20"/>
                <w:szCs w:val="20"/>
              </w:rPr>
              <w:t>useDsm</w:t>
            </w:r>
          </w:p>
        </w:tc>
        <w:tc>
          <w:tcPr>
            <w:tcW w:w="3192" w:type="dxa"/>
          </w:tcPr>
          <w:p w:rsidR="00454B5C" w:rsidRDefault="00454B5C" w:rsidP="00203883">
            <w:pPr>
              <w:rPr>
                <w:sz w:val="18"/>
                <w:szCs w:val="18"/>
              </w:rPr>
            </w:pPr>
            <w:r>
              <w:rPr>
                <w:sz w:val="18"/>
                <w:szCs w:val="18"/>
              </w:rPr>
              <w:t>Flag indicating whether to upload f</w:t>
            </w:r>
            <w:r w:rsidR="00203883">
              <w:rPr>
                <w:sz w:val="18"/>
                <w:szCs w:val="18"/>
              </w:rPr>
              <w:t>ragments</w:t>
            </w:r>
            <w:r>
              <w:rPr>
                <w:sz w:val="18"/>
                <w:szCs w:val="18"/>
              </w:rPr>
              <w:t xml:space="preserve"> to s3 via DNA’s internal dsm middleware</w:t>
            </w:r>
          </w:p>
        </w:tc>
        <w:tc>
          <w:tcPr>
            <w:tcW w:w="3192" w:type="dxa"/>
          </w:tcPr>
          <w:p w:rsidR="00454B5C" w:rsidRDefault="00454B5C" w:rsidP="001F6B37">
            <w:pPr>
              <w:rPr>
                <w:sz w:val="18"/>
                <w:szCs w:val="18"/>
              </w:rPr>
            </w:pPr>
            <w:r w:rsidRPr="00794B45">
              <w:rPr>
                <w:b/>
                <w:sz w:val="18"/>
                <w:szCs w:val="18"/>
              </w:rPr>
              <w:t>Required</w:t>
            </w:r>
            <w:r>
              <w:rPr>
                <w:sz w:val="18"/>
                <w:szCs w:val="18"/>
              </w:rPr>
              <w:t xml:space="preserve"> – always set to false outside of DNA environment</w:t>
            </w:r>
          </w:p>
        </w:tc>
      </w:tr>
      <w:tr w:rsidR="00203883" w:rsidTr="001F6B37">
        <w:tc>
          <w:tcPr>
            <w:tcW w:w="3192" w:type="dxa"/>
          </w:tcPr>
          <w:p w:rsidR="00203883" w:rsidRPr="001F4530" w:rsidRDefault="00203883" w:rsidP="001F6B37">
            <w:pPr>
              <w:jc w:val="center"/>
              <w:rPr>
                <w:sz w:val="20"/>
                <w:szCs w:val="20"/>
              </w:rPr>
            </w:pPr>
            <w:r>
              <w:rPr>
                <w:sz w:val="20"/>
                <w:szCs w:val="20"/>
              </w:rPr>
              <w:t>taskId</w:t>
            </w:r>
          </w:p>
        </w:tc>
        <w:tc>
          <w:tcPr>
            <w:tcW w:w="3192" w:type="dxa"/>
          </w:tcPr>
          <w:p w:rsidR="00203883" w:rsidRDefault="00203883" w:rsidP="00203883">
            <w:pPr>
              <w:rPr>
                <w:sz w:val="18"/>
                <w:szCs w:val="18"/>
              </w:rPr>
            </w:pPr>
            <w:r>
              <w:rPr>
                <w:sz w:val="18"/>
                <w:szCs w:val="18"/>
              </w:rPr>
              <w:t>Internal DNA identifier for the specific execution instance of this etl job.</w:t>
            </w:r>
          </w:p>
        </w:tc>
        <w:tc>
          <w:tcPr>
            <w:tcW w:w="3192" w:type="dxa"/>
          </w:tcPr>
          <w:p w:rsidR="00203883" w:rsidRPr="00794B45" w:rsidRDefault="00203883" w:rsidP="00203883">
            <w:pPr>
              <w:rPr>
                <w:b/>
                <w:sz w:val="18"/>
                <w:szCs w:val="18"/>
              </w:rPr>
            </w:pPr>
            <w:r>
              <w:rPr>
                <w:b/>
                <w:sz w:val="18"/>
                <w:szCs w:val="18"/>
              </w:rPr>
              <w:t xml:space="preserve">Required </w:t>
            </w:r>
            <w:r w:rsidRPr="00203883">
              <w:rPr>
                <w:sz w:val="18"/>
                <w:szCs w:val="18"/>
              </w:rPr>
              <w:t>– set to a random string, infrequently used to avoid collisions against shared resources</w:t>
            </w:r>
            <w:r>
              <w:rPr>
                <w:sz w:val="18"/>
                <w:szCs w:val="18"/>
              </w:rPr>
              <w:t xml:space="preserve"> from ETL jobs running concurrently</w:t>
            </w:r>
          </w:p>
        </w:tc>
      </w:tr>
      <w:tr w:rsidR="007269C4" w:rsidTr="001F6B37">
        <w:tc>
          <w:tcPr>
            <w:tcW w:w="3192" w:type="dxa"/>
          </w:tcPr>
          <w:p w:rsidR="007269C4" w:rsidRPr="001F4530" w:rsidRDefault="007269C4" w:rsidP="001F6B37">
            <w:pPr>
              <w:jc w:val="center"/>
              <w:rPr>
                <w:sz w:val="20"/>
                <w:szCs w:val="20"/>
              </w:rPr>
            </w:pPr>
            <w:r>
              <w:rPr>
                <w:sz w:val="20"/>
                <w:szCs w:val="20"/>
              </w:rPr>
              <w:t>maxAllowedRejections</w:t>
            </w:r>
          </w:p>
        </w:tc>
        <w:tc>
          <w:tcPr>
            <w:tcW w:w="3192" w:type="dxa"/>
          </w:tcPr>
          <w:p w:rsidR="007269C4" w:rsidRDefault="007269C4" w:rsidP="00DF1495">
            <w:pPr>
              <w:rPr>
                <w:sz w:val="18"/>
                <w:szCs w:val="18"/>
              </w:rPr>
            </w:pPr>
            <w:r>
              <w:rPr>
                <w:sz w:val="18"/>
                <w:szCs w:val="18"/>
              </w:rPr>
              <w:t xml:space="preserve">Integer value indicating the maximum number of input rows that can be rejected before the job is failed.  Not all </w:t>
            </w:r>
            <w:r w:rsidR="00DF1495">
              <w:rPr>
                <w:sz w:val="18"/>
                <w:szCs w:val="18"/>
              </w:rPr>
              <w:t>client ETL jobs</w:t>
            </w:r>
            <w:r>
              <w:rPr>
                <w:sz w:val="18"/>
                <w:szCs w:val="18"/>
              </w:rPr>
              <w:t xml:space="preserve"> support this (i.e. they fail if any input row cannot be processed)</w:t>
            </w:r>
          </w:p>
        </w:tc>
        <w:tc>
          <w:tcPr>
            <w:tcW w:w="3192" w:type="dxa"/>
          </w:tcPr>
          <w:p w:rsidR="007269C4" w:rsidRDefault="007269C4" w:rsidP="001F6B37">
            <w:pPr>
              <w:rPr>
                <w:sz w:val="18"/>
                <w:szCs w:val="18"/>
              </w:rPr>
            </w:pPr>
            <w:r>
              <w:rPr>
                <w:sz w:val="18"/>
                <w:szCs w:val="18"/>
              </w:rPr>
              <w:t>Not required – inspection of etl job required to know whether option is supported</w:t>
            </w:r>
          </w:p>
        </w:tc>
      </w:tr>
      <w:tr w:rsidR="00203883" w:rsidTr="001F6B37">
        <w:tc>
          <w:tcPr>
            <w:tcW w:w="3192" w:type="dxa"/>
          </w:tcPr>
          <w:p w:rsidR="00203883" w:rsidRPr="001F4530" w:rsidRDefault="00203883" w:rsidP="001F6B37">
            <w:pPr>
              <w:jc w:val="center"/>
              <w:rPr>
                <w:sz w:val="18"/>
                <w:szCs w:val="18"/>
              </w:rPr>
            </w:pPr>
            <w:r w:rsidRPr="001F4530">
              <w:rPr>
                <w:sz w:val="20"/>
                <w:szCs w:val="20"/>
              </w:rPr>
              <w:t>controllerDetailsCallbackUri</w:t>
            </w:r>
          </w:p>
        </w:tc>
        <w:tc>
          <w:tcPr>
            <w:tcW w:w="3192" w:type="dxa"/>
          </w:tcPr>
          <w:p w:rsidR="00203883" w:rsidRDefault="00203883" w:rsidP="001F6B37">
            <w:pPr>
              <w:rPr>
                <w:sz w:val="18"/>
                <w:szCs w:val="18"/>
              </w:rPr>
            </w:pPr>
            <w:r>
              <w:rPr>
                <w:sz w:val="18"/>
                <w:szCs w:val="18"/>
              </w:rPr>
              <w:t>Uri for calling back connector details</w:t>
            </w:r>
          </w:p>
        </w:tc>
        <w:tc>
          <w:tcPr>
            <w:tcW w:w="3192" w:type="dxa"/>
          </w:tcPr>
          <w:p w:rsidR="00203883" w:rsidRDefault="00203883" w:rsidP="001F6B37">
            <w:pPr>
              <w:rPr>
                <w:sz w:val="18"/>
                <w:szCs w:val="18"/>
              </w:rPr>
            </w:pPr>
            <w:r>
              <w:rPr>
                <w:sz w:val="18"/>
                <w:szCs w:val="18"/>
              </w:rPr>
              <w:t>Not required – do not set when useCallback is false</w:t>
            </w:r>
          </w:p>
        </w:tc>
      </w:tr>
      <w:tr w:rsidR="00203883" w:rsidTr="001F6B37">
        <w:tc>
          <w:tcPr>
            <w:tcW w:w="3192" w:type="dxa"/>
          </w:tcPr>
          <w:p w:rsidR="00203883" w:rsidRPr="001F4530" w:rsidRDefault="00203883" w:rsidP="001F6B37">
            <w:pPr>
              <w:jc w:val="center"/>
              <w:rPr>
                <w:sz w:val="18"/>
                <w:szCs w:val="18"/>
              </w:rPr>
            </w:pPr>
            <w:r w:rsidRPr="001F4530">
              <w:rPr>
                <w:sz w:val="20"/>
                <w:szCs w:val="20"/>
              </w:rPr>
              <w:t>controllerFileCallbackUri</w:t>
            </w:r>
          </w:p>
        </w:tc>
        <w:tc>
          <w:tcPr>
            <w:tcW w:w="3192" w:type="dxa"/>
          </w:tcPr>
          <w:p w:rsidR="00203883" w:rsidRDefault="00203883" w:rsidP="001F6B37">
            <w:pPr>
              <w:rPr>
                <w:sz w:val="18"/>
                <w:szCs w:val="18"/>
              </w:rPr>
            </w:pPr>
            <w:r>
              <w:rPr>
                <w:sz w:val="18"/>
                <w:szCs w:val="18"/>
              </w:rPr>
              <w:t>Uri for calling back with file details</w:t>
            </w:r>
          </w:p>
        </w:tc>
        <w:tc>
          <w:tcPr>
            <w:tcW w:w="3192" w:type="dxa"/>
          </w:tcPr>
          <w:p w:rsidR="00203883" w:rsidRDefault="00203883" w:rsidP="001F6B37">
            <w:pPr>
              <w:rPr>
                <w:sz w:val="18"/>
                <w:szCs w:val="18"/>
              </w:rPr>
            </w:pPr>
            <w:r>
              <w:rPr>
                <w:sz w:val="18"/>
                <w:szCs w:val="18"/>
              </w:rPr>
              <w:t>Not required – do not set when useCallback is false</w:t>
            </w:r>
          </w:p>
        </w:tc>
      </w:tr>
      <w:tr w:rsidR="00203883" w:rsidTr="001F6B37">
        <w:tc>
          <w:tcPr>
            <w:tcW w:w="3192" w:type="dxa"/>
          </w:tcPr>
          <w:p w:rsidR="00203883" w:rsidRPr="001F4530" w:rsidRDefault="00203883" w:rsidP="001F6B37">
            <w:pPr>
              <w:jc w:val="center"/>
              <w:rPr>
                <w:sz w:val="20"/>
                <w:szCs w:val="20"/>
              </w:rPr>
            </w:pPr>
            <w:r w:rsidRPr="001F4530">
              <w:rPr>
                <w:sz w:val="20"/>
                <w:szCs w:val="20"/>
              </w:rPr>
              <w:t>dsmEndPoint</w:t>
            </w:r>
          </w:p>
        </w:tc>
        <w:tc>
          <w:tcPr>
            <w:tcW w:w="3192" w:type="dxa"/>
          </w:tcPr>
          <w:p w:rsidR="00203883" w:rsidRDefault="00203883" w:rsidP="001F6B37">
            <w:pPr>
              <w:rPr>
                <w:sz w:val="18"/>
                <w:szCs w:val="18"/>
              </w:rPr>
            </w:pPr>
            <w:r>
              <w:rPr>
                <w:sz w:val="18"/>
                <w:szCs w:val="18"/>
              </w:rPr>
              <w:t>DSM end point</w:t>
            </w:r>
          </w:p>
        </w:tc>
        <w:tc>
          <w:tcPr>
            <w:tcW w:w="3192" w:type="dxa"/>
          </w:tcPr>
          <w:p w:rsidR="00203883" w:rsidRDefault="00203883" w:rsidP="001F6B37">
            <w:pPr>
              <w:rPr>
                <w:sz w:val="18"/>
                <w:szCs w:val="18"/>
              </w:rPr>
            </w:pPr>
            <w:r>
              <w:rPr>
                <w:sz w:val="18"/>
                <w:szCs w:val="18"/>
              </w:rPr>
              <w:t>Not required – do not set when useDsm is false</w:t>
            </w:r>
          </w:p>
        </w:tc>
      </w:tr>
      <w:tr w:rsidR="007269C4" w:rsidTr="001F6B37">
        <w:tc>
          <w:tcPr>
            <w:tcW w:w="3192" w:type="dxa"/>
          </w:tcPr>
          <w:p w:rsidR="007269C4" w:rsidRPr="001F4530" w:rsidRDefault="007269C4" w:rsidP="001F6B37">
            <w:pPr>
              <w:jc w:val="center"/>
              <w:rPr>
                <w:sz w:val="20"/>
                <w:szCs w:val="20"/>
              </w:rPr>
            </w:pPr>
            <w:r>
              <w:rPr>
                <w:sz w:val="20"/>
                <w:szCs w:val="20"/>
              </w:rPr>
              <w:t>path</w:t>
            </w:r>
          </w:p>
        </w:tc>
        <w:tc>
          <w:tcPr>
            <w:tcW w:w="3192" w:type="dxa"/>
          </w:tcPr>
          <w:p w:rsidR="007269C4" w:rsidRDefault="007269C4" w:rsidP="001F6B37">
            <w:pPr>
              <w:rPr>
                <w:sz w:val="18"/>
                <w:szCs w:val="18"/>
              </w:rPr>
            </w:pPr>
            <w:r>
              <w:rPr>
                <w:sz w:val="18"/>
                <w:szCs w:val="18"/>
              </w:rPr>
              <w:t>DSM location of input file</w:t>
            </w:r>
          </w:p>
        </w:tc>
        <w:tc>
          <w:tcPr>
            <w:tcW w:w="3192" w:type="dxa"/>
          </w:tcPr>
          <w:p w:rsidR="007269C4" w:rsidRDefault="007269C4" w:rsidP="001F6B37">
            <w:pPr>
              <w:rPr>
                <w:sz w:val="18"/>
                <w:szCs w:val="18"/>
              </w:rPr>
            </w:pPr>
            <w:r>
              <w:rPr>
                <w:sz w:val="18"/>
                <w:szCs w:val="18"/>
              </w:rPr>
              <w:t>Not required – do not set when useDsm is false</w:t>
            </w:r>
          </w:p>
        </w:tc>
      </w:tr>
    </w:tbl>
    <w:p w:rsidR="00454B5C" w:rsidRDefault="00454B5C">
      <w:pPr>
        <w:rPr>
          <w:b/>
          <w:sz w:val="18"/>
          <w:szCs w:val="18"/>
        </w:rPr>
      </w:pPr>
    </w:p>
    <w:p w:rsidR="007269C4" w:rsidRDefault="007269C4">
      <w:pPr>
        <w:rPr>
          <w:sz w:val="18"/>
          <w:szCs w:val="18"/>
        </w:rPr>
      </w:pPr>
      <w:r w:rsidRPr="007269C4">
        <w:rPr>
          <w:sz w:val="18"/>
          <w:szCs w:val="18"/>
        </w:rPr>
        <w:t xml:space="preserve">Note that </w:t>
      </w:r>
      <w:r>
        <w:rPr>
          <w:sz w:val="18"/>
          <w:szCs w:val="18"/>
        </w:rPr>
        <w:t>all fragment output files will be written to the outputDirectory using the standard DNA naming convention:</w:t>
      </w:r>
    </w:p>
    <w:p w:rsidR="007269C4" w:rsidRDefault="007269C4">
      <w:pPr>
        <w:rPr>
          <w:sz w:val="18"/>
          <w:szCs w:val="18"/>
        </w:rPr>
      </w:pPr>
      <w:r>
        <w:rPr>
          <w:sz w:val="18"/>
          <w:szCs w:val="18"/>
        </w:rPr>
        <w:lastRenderedPageBreak/>
        <w:t>[fragmentIdentifier]_[job or date specific details].[yyyyMMdd|nodate]</w:t>
      </w:r>
    </w:p>
    <w:p w:rsidR="007269C4" w:rsidRDefault="007269C4" w:rsidP="007269C4">
      <w:pPr>
        <w:pStyle w:val="ListParagraph"/>
        <w:numPr>
          <w:ilvl w:val="0"/>
          <w:numId w:val="1"/>
        </w:numPr>
        <w:rPr>
          <w:sz w:val="18"/>
          <w:szCs w:val="18"/>
        </w:rPr>
      </w:pPr>
      <w:r w:rsidRPr="007269C4">
        <w:rPr>
          <w:b/>
          <w:sz w:val="18"/>
          <w:szCs w:val="18"/>
        </w:rPr>
        <w:t>fragmentIdentifier</w:t>
      </w:r>
      <w:r>
        <w:rPr>
          <w:sz w:val="18"/>
          <w:szCs w:val="18"/>
        </w:rPr>
        <w:t xml:space="preserve"> indicates the type of fragment and which feed jobs will pick it up (and how they will utilize it)</w:t>
      </w:r>
    </w:p>
    <w:p w:rsidR="007269C4" w:rsidRDefault="007269C4" w:rsidP="007269C4">
      <w:pPr>
        <w:pStyle w:val="ListParagraph"/>
        <w:numPr>
          <w:ilvl w:val="0"/>
          <w:numId w:val="1"/>
        </w:numPr>
        <w:rPr>
          <w:sz w:val="18"/>
          <w:szCs w:val="18"/>
        </w:rPr>
      </w:pPr>
      <w:r w:rsidRPr="007269C4">
        <w:rPr>
          <w:b/>
          <w:sz w:val="18"/>
          <w:szCs w:val="18"/>
        </w:rPr>
        <w:t>job or date specific details</w:t>
      </w:r>
      <w:r>
        <w:rPr>
          <w:b/>
          <w:sz w:val="18"/>
          <w:szCs w:val="18"/>
        </w:rPr>
        <w:t xml:space="preserve"> </w:t>
      </w:r>
      <w:r w:rsidRPr="007269C4">
        <w:rPr>
          <w:sz w:val="18"/>
          <w:szCs w:val="18"/>
        </w:rPr>
        <w:t>provides the client job with a</w:t>
      </w:r>
      <w:r w:rsidR="00C71B0D">
        <w:rPr>
          <w:sz w:val="18"/>
          <w:szCs w:val="18"/>
        </w:rPr>
        <w:t>n optional</w:t>
      </w:r>
      <w:r w:rsidRPr="007269C4">
        <w:rPr>
          <w:sz w:val="18"/>
          <w:szCs w:val="18"/>
        </w:rPr>
        <w:t xml:space="preserve"> way of </w:t>
      </w:r>
      <w:r>
        <w:rPr>
          <w:sz w:val="18"/>
          <w:szCs w:val="18"/>
        </w:rPr>
        <w:t>labeling the fragment so that similar fragments from other jobs (and other dates) do not overwrite</w:t>
      </w:r>
    </w:p>
    <w:p w:rsidR="007269C4" w:rsidRPr="007269C4" w:rsidRDefault="007269C4" w:rsidP="007269C4">
      <w:pPr>
        <w:pStyle w:val="ListParagraph"/>
        <w:numPr>
          <w:ilvl w:val="0"/>
          <w:numId w:val="1"/>
        </w:numPr>
        <w:rPr>
          <w:sz w:val="18"/>
          <w:szCs w:val="18"/>
        </w:rPr>
      </w:pPr>
      <w:r w:rsidRPr="007269C4">
        <w:rPr>
          <w:b/>
          <w:sz w:val="18"/>
          <w:szCs w:val="18"/>
        </w:rPr>
        <w:t>yyyyMMdd|nodate</w:t>
      </w:r>
      <w:r>
        <w:rPr>
          <w:b/>
          <w:sz w:val="18"/>
          <w:szCs w:val="18"/>
        </w:rPr>
        <w:t xml:space="preserve"> </w:t>
      </w:r>
      <w:r w:rsidRPr="007269C4">
        <w:rPr>
          <w:sz w:val="18"/>
          <w:szCs w:val="18"/>
        </w:rPr>
        <w:t>indicates whether the fragment is for a specific date (yyyyMMdd) or whether the fragment should be used for future dates until replaced (nodate)</w:t>
      </w:r>
    </w:p>
    <w:p w:rsidR="007269C4" w:rsidRDefault="007269C4">
      <w:pPr>
        <w:rPr>
          <w:sz w:val="18"/>
          <w:szCs w:val="18"/>
        </w:rPr>
      </w:pPr>
      <w:r>
        <w:rPr>
          <w:sz w:val="18"/>
          <w:szCs w:val="18"/>
        </w:rPr>
        <w:t>Here is an example of the execution of a client ETL job:</w:t>
      </w:r>
    </w:p>
    <w:p w:rsidR="007269C4" w:rsidRDefault="00C71B0D">
      <w:pPr>
        <w:rPr>
          <w:sz w:val="18"/>
          <w:szCs w:val="18"/>
        </w:rPr>
      </w:pPr>
      <w:r>
        <w:rPr>
          <w:noProof/>
          <w:sz w:val="18"/>
          <w:szCs w:val="18"/>
        </w:rPr>
        <w:drawing>
          <wp:inline distT="0" distB="0" distL="0" distR="0">
            <wp:extent cx="5936615" cy="222440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2224405"/>
                    </a:xfrm>
                    <a:prstGeom prst="rect">
                      <a:avLst/>
                    </a:prstGeom>
                    <a:noFill/>
                    <a:ln>
                      <a:noFill/>
                    </a:ln>
                  </pic:spPr>
                </pic:pic>
              </a:graphicData>
            </a:graphic>
          </wp:inline>
        </w:drawing>
      </w:r>
    </w:p>
    <w:p w:rsidR="00013327" w:rsidRDefault="00013327">
      <w:pPr>
        <w:rPr>
          <w:b/>
        </w:rPr>
      </w:pPr>
      <w:r>
        <w:rPr>
          <w:b/>
        </w:rPr>
        <w:br w:type="page"/>
      </w:r>
    </w:p>
    <w:p w:rsidR="00C71B0D" w:rsidRPr="00E30799" w:rsidRDefault="00C71B0D">
      <w:pPr>
        <w:rPr>
          <w:b/>
        </w:rPr>
      </w:pPr>
      <w:proofErr w:type="spellStart"/>
      <w:r w:rsidRPr="00E30799">
        <w:rPr>
          <w:b/>
        </w:rPr>
        <w:lastRenderedPageBreak/>
        <w:t>Feed</w:t>
      </w:r>
      <w:r w:rsidR="00F004E6">
        <w:rPr>
          <w:b/>
        </w:rPr>
        <w:t>_Dps</w:t>
      </w:r>
      <w:proofErr w:type="spellEnd"/>
      <w:r w:rsidR="00F004E6">
        <w:rPr>
          <w:b/>
        </w:rPr>
        <w:t xml:space="preserve"> ETL</w:t>
      </w:r>
      <w:r w:rsidRPr="00E30799">
        <w:rPr>
          <w:b/>
        </w:rPr>
        <w:t xml:space="preserve"> Jobs</w:t>
      </w:r>
    </w:p>
    <w:p w:rsidR="00C71B0D" w:rsidRPr="00C71B0D" w:rsidRDefault="00C71B0D">
      <w:pPr>
        <w:rPr>
          <w:sz w:val="18"/>
          <w:szCs w:val="18"/>
        </w:rPr>
      </w:pPr>
      <w:r w:rsidRPr="00C71B0D">
        <w:rPr>
          <w:sz w:val="18"/>
          <w:szCs w:val="18"/>
        </w:rPr>
        <w:t>Feed</w:t>
      </w:r>
      <w:r w:rsidR="00F004E6">
        <w:rPr>
          <w:sz w:val="18"/>
          <w:szCs w:val="18"/>
        </w:rPr>
        <w:t>_Dps</w:t>
      </w:r>
      <w:r w:rsidRPr="00C71B0D">
        <w:rPr>
          <w:sz w:val="18"/>
          <w:szCs w:val="18"/>
        </w:rPr>
        <w:t xml:space="preserve"> jobs operate on fragments and</w:t>
      </w:r>
      <w:r w:rsidR="008857A7">
        <w:rPr>
          <w:sz w:val="18"/>
          <w:szCs w:val="18"/>
        </w:rPr>
        <w:t xml:space="preserve"> generate </w:t>
      </w:r>
      <w:r w:rsidRPr="00C71B0D">
        <w:rPr>
          <w:sz w:val="18"/>
          <w:szCs w:val="18"/>
        </w:rPr>
        <w:t>a single file for a single day according to the DNA</w:t>
      </w:r>
      <w:r w:rsidR="00375297">
        <w:rPr>
          <w:sz w:val="18"/>
          <w:szCs w:val="18"/>
        </w:rPr>
        <w:t xml:space="preserve"> internal</w:t>
      </w:r>
      <w:r w:rsidRPr="00C71B0D">
        <w:rPr>
          <w:sz w:val="18"/>
          <w:szCs w:val="18"/>
        </w:rPr>
        <w:t xml:space="preserve"> detailed feed specification.  The set of context parameters consistent across feed jobs:</w:t>
      </w:r>
    </w:p>
    <w:tbl>
      <w:tblPr>
        <w:tblStyle w:val="TableGrid"/>
        <w:tblW w:w="0" w:type="auto"/>
        <w:tblLook w:val="04A0" w:firstRow="1" w:lastRow="0" w:firstColumn="1" w:lastColumn="0" w:noHBand="0" w:noVBand="1"/>
      </w:tblPr>
      <w:tblGrid>
        <w:gridCol w:w="3192"/>
        <w:gridCol w:w="3192"/>
        <w:gridCol w:w="3192"/>
      </w:tblGrid>
      <w:tr w:rsidR="00DF1495" w:rsidRPr="00794B45" w:rsidTr="001F6B37">
        <w:tc>
          <w:tcPr>
            <w:tcW w:w="3192" w:type="dxa"/>
          </w:tcPr>
          <w:p w:rsidR="00DF1495" w:rsidRPr="00794B45" w:rsidRDefault="00DF1495" w:rsidP="001F6B37">
            <w:pPr>
              <w:jc w:val="center"/>
              <w:rPr>
                <w:b/>
                <w:sz w:val="18"/>
                <w:szCs w:val="18"/>
              </w:rPr>
            </w:pPr>
            <w:r w:rsidRPr="00794B45">
              <w:rPr>
                <w:b/>
                <w:sz w:val="18"/>
                <w:szCs w:val="18"/>
              </w:rPr>
              <w:t>Parameter Name</w:t>
            </w:r>
          </w:p>
        </w:tc>
        <w:tc>
          <w:tcPr>
            <w:tcW w:w="3192" w:type="dxa"/>
          </w:tcPr>
          <w:p w:rsidR="00DF1495" w:rsidRPr="00794B45" w:rsidRDefault="00DF1495" w:rsidP="001F6B37">
            <w:pPr>
              <w:jc w:val="center"/>
              <w:rPr>
                <w:b/>
                <w:sz w:val="18"/>
                <w:szCs w:val="18"/>
              </w:rPr>
            </w:pPr>
            <w:r w:rsidRPr="00794B45">
              <w:rPr>
                <w:b/>
                <w:sz w:val="18"/>
                <w:szCs w:val="18"/>
              </w:rPr>
              <w:t>Description</w:t>
            </w:r>
          </w:p>
        </w:tc>
        <w:tc>
          <w:tcPr>
            <w:tcW w:w="3192" w:type="dxa"/>
          </w:tcPr>
          <w:p w:rsidR="00DF1495" w:rsidRPr="00794B45" w:rsidRDefault="00DF1495" w:rsidP="001F6B37">
            <w:pPr>
              <w:jc w:val="center"/>
              <w:rPr>
                <w:b/>
                <w:sz w:val="18"/>
                <w:szCs w:val="18"/>
              </w:rPr>
            </w:pPr>
            <w:r w:rsidRPr="00794B45">
              <w:rPr>
                <w:b/>
                <w:sz w:val="18"/>
                <w:szCs w:val="18"/>
              </w:rPr>
              <w:t>How to use when running jobs outside of DNA environment</w:t>
            </w:r>
          </w:p>
        </w:tc>
      </w:tr>
      <w:tr w:rsidR="00DF1495" w:rsidTr="001F6B37">
        <w:tc>
          <w:tcPr>
            <w:tcW w:w="3192" w:type="dxa"/>
          </w:tcPr>
          <w:p w:rsidR="00DF1495" w:rsidRDefault="00DF1495" w:rsidP="001F6B37">
            <w:pPr>
              <w:jc w:val="center"/>
              <w:rPr>
                <w:sz w:val="18"/>
                <w:szCs w:val="18"/>
              </w:rPr>
            </w:pPr>
          </w:p>
        </w:tc>
        <w:tc>
          <w:tcPr>
            <w:tcW w:w="3192" w:type="dxa"/>
          </w:tcPr>
          <w:p w:rsidR="00DF1495" w:rsidRDefault="00DF1495" w:rsidP="001F6B37">
            <w:pPr>
              <w:rPr>
                <w:sz w:val="18"/>
                <w:szCs w:val="18"/>
              </w:rPr>
            </w:pPr>
          </w:p>
        </w:tc>
        <w:tc>
          <w:tcPr>
            <w:tcW w:w="3192" w:type="dxa"/>
          </w:tcPr>
          <w:p w:rsidR="00DF1495" w:rsidRDefault="00DF1495" w:rsidP="001F6B37">
            <w:pPr>
              <w:rPr>
                <w:sz w:val="18"/>
                <w:szCs w:val="18"/>
              </w:rPr>
            </w:pPr>
          </w:p>
        </w:tc>
      </w:tr>
      <w:tr w:rsidR="00DF1495" w:rsidTr="001F6B37">
        <w:tc>
          <w:tcPr>
            <w:tcW w:w="3192" w:type="dxa"/>
          </w:tcPr>
          <w:p w:rsidR="00DF1495" w:rsidRDefault="00DF1495" w:rsidP="001F6B37">
            <w:pPr>
              <w:jc w:val="center"/>
              <w:rPr>
                <w:sz w:val="18"/>
                <w:szCs w:val="18"/>
              </w:rPr>
            </w:pPr>
            <w:r>
              <w:rPr>
                <w:sz w:val="18"/>
                <w:szCs w:val="18"/>
              </w:rPr>
              <w:t>clientId</w:t>
            </w:r>
          </w:p>
        </w:tc>
        <w:tc>
          <w:tcPr>
            <w:tcW w:w="3192" w:type="dxa"/>
          </w:tcPr>
          <w:p w:rsidR="00DF1495" w:rsidRDefault="00DF1495" w:rsidP="00DF1495">
            <w:pPr>
              <w:rPr>
                <w:sz w:val="18"/>
                <w:szCs w:val="18"/>
              </w:rPr>
            </w:pPr>
            <w:r>
              <w:rPr>
                <w:sz w:val="18"/>
                <w:szCs w:val="18"/>
              </w:rPr>
              <w:t>The internal client identifier for which the feed job is being run (e.g. anntaylor).</w:t>
            </w:r>
          </w:p>
        </w:tc>
        <w:tc>
          <w:tcPr>
            <w:tcW w:w="3192" w:type="dxa"/>
          </w:tcPr>
          <w:p w:rsidR="00DF1495" w:rsidRDefault="00DF1495" w:rsidP="00375297">
            <w:pPr>
              <w:rPr>
                <w:sz w:val="18"/>
                <w:szCs w:val="18"/>
              </w:rPr>
            </w:pPr>
            <w:r w:rsidRPr="00794B45">
              <w:rPr>
                <w:b/>
                <w:sz w:val="18"/>
                <w:szCs w:val="18"/>
              </w:rPr>
              <w:t>Required</w:t>
            </w:r>
            <w:r>
              <w:rPr>
                <w:sz w:val="18"/>
                <w:szCs w:val="18"/>
              </w:rPr>
              <w:t xml:space="preserve"> for all ETL jobs, rarely used by </w:t>
            </w:r>
            <w:r w:rsidR="008857A7">
              <w:rPr>
                <w:sz w:val="18"/>
                <w:szCs w:val="18"/>
              </w:rPr>
              <w:t>feed</w:t>
            </w:r>
            <w:r>
              <w:rPr>
                <w:sz w:val="18"/>
                <w:szCs w:val="18"/>
              </w:rPr>
              <w:t xml:space="preserve"> jobs (</w:t>
            </w:r>
            <w:r w:rsidR="008857A7">
              <w:rPr>
                <w:sz w:val="18"/>
                <w:szCs w:val="18"/>
              </w:rPr>
              <w:t xml:space="preserve">other than when required to </w:t>
            </w:r>
            <w:r w:rsidR="00375297">
              <w:rPr>
                <w:sz w:val="18"/>
                <w:szCs w:val="18"/>
              </w:rPr>
              <w:t>determine</w:t>
            </w:r>
            <w:r w:rsidR="008857A7">
              <w:rPr>
                <w:sz w:val="18"/>
                <w:szCs w:val="18"/>
              </w:rPr>
              <w:t xml:space="preserve"> s3 location specific to an account)</w:t>
            </w:r>
          </w:p>
        </w:tc>
      </w:tr>
      <w:tr w:rsidR="00DF1495" w:rsidTr="001F6B37">
        <w:tc>
          <w:tcPr>
            <w:tcW w:w="3192" w:type="dxa"/>
          </w:tcPr>
          <w:p w:rsidR="00DF1495" w:rsidRDefault="00DF1495" w:rsidP="001F6B37">
            <w:pPr>
              <w:jc w:val="center"/>
              <w:rPr>
                <w:sz w:val="18"/>
                <w:szCs w:val="18"/>
              </w:rPr>
            </w:pPr>
            <w:r>
              <w:rPr>
                <w:sz w:val="18"/>
                <w:szCs w:val="18"/>
              </w:rPr>
              <w:t>startDate</w:t>
            </w:r>
          </w:p>
        </w:tc>
        <w:tc>
          <w:tcPr>
            <w:tcW w:w="3192" w:type="dxa"/>
          </w:tcPr>
          <w:p w:rsidR="00DF1495" w:rsidRDefault="00DF1495" w:rsidP="008857A7">
            <w:pPr>
              <w:rPr>
                <w:sz w:val="18"/>
                <w:szCs w:val="18"/>
              </w:rPr>
            </w:pPr>
            <w:r>
              <w:rPr>
                <w:sz w:val="18"/>
                <w:szCs w:val="18"/>
              </w:rPr>
              <w:t xml:space="preserve">The </w:t>
            </w:r>
            <w:r w:rsidR="008857A7">
              <w:rPr>
                <w:sz w:val="18"/>
                <w:szCs w:val="18"/>
              </w:rPr>
              <w:t>date for which the feed is being generated</w:t>
            </w:r>
            <w:r>
              <w:rPr>
                <w:sz w:val="18"/>
                <w:szCs w:val="18"/>
              </w:rPr>
              <w:t>, formatted as “yyyyMMdd;20180101”.</w:t>
            </w:r>
          </w:p>
        </w:tc>
        <w:tc>
          <w:tcPr>
            <w:tcW w:w="3192" w:type="dxa"/>
          </w:tcPr>
          <w:p w:rsidR="00DF1495" w:rsidRDefault="00DF1495" w:rsidP="001F6B37">
            <w:pPr>
              <w:rPr>
                <w:b/>
                <w:sz w:val="18"/>
                <w:szCs w:val="18"/>
              </w:rPr>
            </w:pPr>
            <w:r>
              <w:rPr>
                <w:b/>
                <w:sz w:val="18"/>
                <w:szCs w:val="18"/>
              </w:rPr>
              <w:t>Required</w:t>
            </w:r>
          </w:p>
        </w:tc>
      </w:tr>
      <w:tr w:rsidR="008857A7" w:rsidTr="001F6B37">
        <w:tc>
          <w:tcPr>
            <w:tcW w:w="3192" w:type="dxa"/>
          </w:tcPr>
          <w:p w:rsidR="008857A7" w:rsidRDefault="008857A7" w:rsidP="001F6B37">
            <w:pPr>
              <w:jc w:val="center"/>
              <w:rPr>
                <w:sz w:val="18"/>
                <w:szCs w:val="18"/>
              </w:rPr>
            </w:pPr>
            <w:r>
              <w:rPr>
                <w:sz w:val="18"/>
                <w:szCs w:val="18"/>
              </w:rPr>
              <w:t>endDate</w:t>
            </w:r>
          </w:p>
        </w:tc>
        <w:tc>
          <w:tcPr>
            <w:tcW w:w="3192" w:type="dxa"/>
          </w:tcPr>
          <w:p w:rsidR="008857A7" w:rsidRDefault="008857A7" w:rsidP="001F6B37">
            <w:pPr>
              <w:rPr>
                <w:sz w:val="18"/>
                <w:szCs w:val="18"/>
              </w:rPr>
            </w:pPr>
            <w:r>
              <w:rPr>
                <w:sz w:val="18"/>
                <w:szCs w:val="18"/>
              </w:rPr>
              <w:t>The date for which the feed is being generated, formatted as “yyyyMMdd;20180101”.</w:t>
            </w:r>
          </w:p>
        </w:tc>
        <w:tc>
          <w:tcPr>
            <w:tcW w:w="3192" w:type="dxa"/>
          </w:tcPr>
          <w:p w:rsidR="008857A7" w:rsidRDefault="008857A7" w:rsidP="001F6B37">
            <w:pPr>
              <w:rPr>
                <w:b/>
                <w:sz w:val="18"/>
                <w:szCs w:val="18"/>
              </w:rPr>
            </w:pPr>
            <w:r>
              <w:rPr>
                <w:b/>
                <w:sz w:val="18"/>
                <w:szCs w:val="18"/>
              </w:rPr>
              <w:t>Required</w:t>
            </w:r>
          </w:p>
        </w:tc>
      </w:tr>
      <w:tr w:rsidR="00DF1495" w:rsidTr="001F6B37">
        <w:tc>
          <w:tcPr>
            <w:tcW w:w="3192" w:type="dxa"/>
          </w:tcPr>
          <w:p w:rsidR="00DF1495" w:rsidRDefault="00DF1495" w:rsidP="001F6B37">
            <w:pPr>
              <w:jc w:val="center"/>
              <w:rPr>
                <w:sz w:val="18"/>
                <w:szCs w:val="18"/>
              </w:rPr>
            </w:pPr>
            <w:r>
              <w:rPr>
                <w:sz w:val="18"/>
                <w:szCs w:val="18"/>
              </w:rPr>
              <w:t>inputDirectory</w:t>
            </w:r>
          </w:p>
        </w:tc>
        <w:tc>
          <w:tcPr>
            <w:tcW w:w="3192" w:type="dxa"/>
          </w:tcPr>
          <w:p w:rsidR="00DF1495" w:rsidRDefault="00DF1495" w:rsidP="001F6B37">
            <w:pPr>
              <w:rPr>
                <w:sz w:val="18"/>
                <w:szCs w:val="18"/>
              </w:rPr>
            </w:pPr>
            <w:r>
              <w:rPr>
                <w:sz w:val="18"/>
                <w:szCs w:val="18"/>
              </w:rPr>
              <w:t>The fully qualified directory in which</w:t>
            </w:r>
            <w:r w:rsidR="008857A7">
              <w:rPr>
                <w:sz w:val="18"/>
                <w:szCs w:val="18"/>
              </w:rPr>
              <w:t xml:space="preserve"> the input fragments will be located.</w:t>
            </w:r>
          </w:p>
        </w:tc>
        <w:tc>
          <w:tcPr>
            <w:tcW w:w="3192" w:type="dxa"/>
          </w:tcPr>
          <w:p w:rsidR="00DF1495" w:rsidRDefault="00DF1495" w:rsidP="008857A7">
            <w:pPr>
              <w:rPr>
                <w:b/>
                <w:sz w:val="18"/>
                <w:szCs w:val="18"/>
              </w:rPr>
            </w:pPr>
            <w:r>
              <w:rPr>
                <w:b/>
                <w:sz w:val="18"/>
                <w:szCs w:val="18"/>
              </w:rPr>
              <w:t xml:space="preserve">Required </w:t>
            </w:r>
            <w:r w:rsidRPr="00203883">
              <w:rPr>
                <w:sz w:val="18"/>
                <w:szCs w:val="18"/>
              </w:rPr>
              <w:t xml:space="preserve">– set to the local directory where the </w:t>
            </w:r>
            <w:r w:rsidR="008857A7">
              <w:rPr>
                <w:sz w:val="18"/>
                <w:szCs w:val="18"/>
              </w:rPr>
              <w:t>fragments have been written</w:t>
            </w:r>
          </w:p>
        </w:tc>
      </w:tr>
      <w:tr w:rsidR="00DF1495" w:rsidRPr="00794B45" w:rsidTr="001F6B37">
        <w:tc>
          <w:tcPr>
            <w:tcW w:w="3192" w:type="dxa"/>
          </w:tcPr>
          <w:p w:rsidR="00DF1495" w:rsidRDefault="00DF1495" w:rsidP="001F6B37">
            <w:pPr>
              <w:jc w:val="center"/>
              <w:rPr>
                <w:sz w:val="18"/>
                <w:szCs w:val="18"/>
              </w:rPr>
            </w:pPr>
            <w:r>
              <w:rPr>
                <w:sz w:val="18"/>
                <w:szCs w:val="18"/>
              </w:rPr>
              <w:t>outputDirectory</w:t>
            </w:r>
          </w:p>
        </w:tc>
        <w:tc>
          <w:tcPr>
            <w:tcW w:w="3192" w:type="dxa"/>
          </w:tcPr>
          <w:p w:rsidR="00DF1495" w:rsidRDefault="00DF1495" w:rsidP="008857A7">
            <w:pPr>
              <w:rPr>
                <w:sz w:val="18"/>
                <w:szCs w:val="18"/>
              </w:rPr>
            </w:pPr>
            <w:r>
              <w:rPr>
                <w:sz w:val="18"/>
                <w:szCs w:val="18"/>
              </w:rPr>
              <w:t xml:space="preserve">The fully qualified directory to which the resulting </w:t>
            </w:r>
            <w:r w:rsidR="008857A7">
              <w:rPr>
                <w:sz w:val="18"/>
                <w:szCs w:val="18"/>
              </w:rPr>
              <w:t>feed file</w:t>
            </w:r>
            <w:r>
              <w:rPr>
                <w:sz w:val="18"/>
                <w:szCs w:val="18"/>
              </w:rPr>
              <w:t xml:space="preserve"> will be written to.</w:t>
            </w:r>
          </w:p>
        </w:tc>
        <w:tc>
          <w:tcPr>
            <w:tcW w:w="3192" w:type="dxa"/>
          </w:tcPr>
          <w:p w:rsidR="00DF1495" w:rsidRPr="00794B45" w:rsidRDefault="00DF1495" w:rsidP="001F6B37">
            <w:pPr>
              <w:rPr>
                <w:b/>
                <w:sz w:val="18"/>
                <w:szCs w:val="18"/>
              </w:rPr>
            </w:pPr>
            <w:r>
              <w:rPr>
                <w:b/>
                <w:sz w:val="18"/>
                <w:szCs w:val="18"/>
              </w:rPr>
              <w:t>R</w:t>
            </w:r>
            <w:r w:rsidRPr="00794B45">
              <w:rPr>
                <w:b/>
                <w:sz w:val="18"/>
                <w:szCs w:val="18"/>
              </w:rPr>
              <w:t>equired</w:t>
            </w:r>
            <w:r>
              <w:rPr>
                <w:b/>
                <w:sz w:val="18"/>
                <w:szCs w:val="18"/>
              </w:rPr>
              <w:t xml:space="preserve"> </w:t>
            </w:r>
            <w:r w:rsidRPr="00794B45">
              <w:rPr>
                <w:sz w:val="18"/>
                <w:szCs w:val="18"/>
              </w:rPr>
              <w:t>– set to a writable local directory</w:t>
            </w:r>
          </w:p>
        </w:tc>
      </w:tr>
      <w:tr w:rsidR="00DF1495" w:rsidTr="001F6B37">
        <w:tc>
          <w:tcPr>
            <w:tcW w:w="3192" w:type="dxa"/>
          </w:tcPr>
          <w:p w:rsidR="00DF1495" w:rsidRDefault="00DF1495" w:rsidP="001F6B37">
            <w:pPr>
              <w:jc w:val="center"/>
              <w:rPr>
                <w:sz w:val="18"/>
                <w:szCs w:val="18"/>
              </w:rPr>
            </w:pPr>
            <w:r>
              <w:rPr>
                <w:sz w:val="18"/>
                <w:szCs w:val="18"/>
              </w:rPr>
              <w:t>useCallback</w:t>
            </w:r>
          </w:p>
        </w:tc>
        <w:tc>
          <w:tcPr>
            <w:tcW w:w="3192" w:type="dxa"/>
          </w:tcPr>
          <w:p w:rsidR="00DF1495" w:rsidRDefault="00DF1495" w:rsidP="001F6B37">
            <w:pPr>
              <w:rPr>
                <w:sz w:val="18"/>
                <w:szCs w:val="18"/>
              </w:rPr>
            </w:pPr>
            <w:r>
              <w:rPr>
                <w:sz w:val="18"/>
                <w:szCs w:val="18"/>
              </w:rPr>
              <w:t>Flag indicating whether to call back to the DNA platform with details about the client etl job execution.</w:t>
            </w:r>
          </w:p>
        </w:tc>
        <w:tc>
          <w:tcPr>
            <w:tcW w:w="3192" w:type="dxa"/>
          </w:tcPr>
          <w:p w:rsidR="00DF1495" w:rsidRDefault="00DF1495" w:rsidP="001F6B37">
            <w:pPr>
              <w:rPr>
                <w:sz w:val="18"/>
                <w:szCs w:val="18"/>
              </w:rPr>
            </w:pPr>
            <w:r w:rsidRPr="00794B45">
              <w:rPr>
                <w:b/>
                <w:sz w:val="18"/>
                <w:szCs w:val="18"/>
              </w:rPr>
              <w:t>Required</w:t>
            </w:r>
            <w:r>
              <w:rPr>
                <w:sz w:val="18"/>
                <w:szCs w:val="18"/>
              </w:rPr>
              <w:t xml:space="preserve"> - always set to false outside of DNA environment</w:t>
            </w:r>
          </w:p>
        </w:tc>
      </w:tr>
      <w:tr w:rsidR="00DF1495" w:rsidTr="001F6B37">
        <w:tc>
          <w:tcPr>
            <w:tcW w:w="3192" w:type="dxa"/>
          </w:tcPr>
          <w:p w:rsidR="00DF1495" w:rsidRPr="001F4530" w:rsidRDefault="00DF1495" w:rsidP="001F6B37">
            <w:pPr>
              <w:jc w:val="center"/>
              <w:rPr>
                <w:sz w:val="20"/>
                <w:szCs w:val="20"/>
              </w:rPr>
            </w:pPr>
            <w:r w:rsidRPr="001F4530">
              <w:rPr>
                <w:sz w:val="20"/>
                <w:szCs w:val="20"/>
              </w:rPr>
              <w:t>useDsm</w:t>
            </w:r>
          </w:p>
        </w:tc>
        <w:tc>
          <w:tcPr>
            <w:tcW w:w="3192" w:type="dxa"/>
          </w:tcPr>
          <w:p w:rsidR="00DF1495" w:rsidRDefault="00DF1495" w:rsidP="001F6B37">
            <w:pPr>
              <w:rPr>
                <w:sz w:val="18"/>
                <w:szCs w:val="18"/>
              </w:rPr>
            </w:pPr>
            <w:r>
              <w:rPr>
                <w:sz w:val="18"/>
                <w:szCs w:val="18"/>
              </w:rPr>
              <w:t>Flag indicating whether to upload fragments to s3 via DNA’s internal dsm middleware</w:t>
            </w:r>
          </w:p>
        </w:tc>
        <w:tc>
          <w:tcPr>
            <w:tcW w:w="3192" w:type="dxa"/>
          </w:tcPr>
          <w:p w:rsidR="00DF1495" w:rsidRDefault="00DF1495" w:rsidP="001F6B37">
            <w:pPr>
              <w:rPr>
                <w:sz w:val="18"/>
                <w:szCs w:val="18"/>
              </w:rPr>
            </w:pPr>
            <w:r w:rsidRPr="00794B45">
              <w:rPr>
                <w:b/>
                <w:sz w:val="18"/>
                <w:szCs w:val="18"/>
              </w:rPr>
              <w:t>Required</w:t>
            </w:r>
            <w:r>
              <w:rPr>
                <w:sz w:val="18"/>
                <w:szCs w:val="18"/>
              </w:rPr>
              <w:t xml:space="preserve"> – always set to false outside of DNA environment</w:t>
            </w:r>
          </w:p>
        </w:tc>
      </w:tr>
      <w:tr w:rsidR="008857A7" w:rsidTr="001F6B37">
        <w:tc>
          <w:tcPr>
            <w:tcW w:w="3192" w:type="dxa"/>
          </w:tcPr>
          <w:p w:rsidR="008857A7" w:rsidRPr="001F4530" w:rsidRDefault="008857A7" w:rsidP="001F6B37">
            <w:pPr>
              <w:jc w:val="center"/>
              <w:rPr>
                <w:sz w:val="20"/>
                <w:szCs w:val="20"/>
              </w:rPr>
            </w:pPr>
            <w:r>
              <w:rPr>
                <w:sz w:val="20"/>
                <w:szCs w:val="20"/>
              </w:rPr>
              <w:t>useLegacy</w:t>
            </w:r>
          </w:p>
        </w:tc>
        <w:tc>
          <w:tcPr>
            <w:tcW w:w="3192" w:type="dxa"/>
          </w:tcPr>
          <w:p w:rsidR="008857A7" w:rsidRDefault="008857A7" w:rsidP="008857A7">
            <w:pPr>
              <w:rPr>
                <w:sz w:val="18"/>
                <w:szCs w:val="18"/>
              </w:rPr>
            </w:pPr>
            <w:r>
              <w:rPr>
                <w:sz w:val="18"/>
                <w:szCs w:val="18"/>
              </w:rPr>
              <w:t>There are two modes in which feed jobs can acquire their input fragments:  Legacy where the input directory is scanned for any fragments that the feed job uses as input and Explicit where all of the fragments to be used are explicitly listed in context parameters that are specific to the feed job.  For the purposes of running outside of the DNA environment, Legacy is typically the easier approach to use.</w:t>
            </w:r>
          </w:p>
        </w:tc>
        <w:tc>
          <w:tcPr>
            <w:tcW w:w="3192" w:type="dxa"/>
          </w:tcPr>
          <w:p w:rsidR="008857A7" w:rsidRPr="00794B45" w:rsidRDefault="008857A7" w:rsidP="001F6B37">
            <w:pPr>
              <w:rPr>
                <w:b/>
                <w:sz w:val="18"/>
                <w:szCs w:val="18"/>
              </w:rPr>
            </w:pPr>
            <w:r>
              <w:rPr>
                <w:b/>
                <w:sz w:val="18"/>
                <w:szCs w:val="18"/>
              </w:rPr>
              <w:t xml:space="preserve">Required </w:t>
            </w:r>
            <w:r w:rsidRPr="008857A7">
              <w:rPr>
                <w:sz w:val="18"/>
                <w:szCs w:val="18"/>
              </w:rPr>
              <w:t>– in order to use all fragments available to the feed job set to true.  If explicit fragment configuration is desired, specify fragments in context parameters that are specific to the feed job (consult detailed documentation).</w:t>
            </w:r>
          </w:p>
        </w:tc>
      </w:tr>
      <w:tr w:rsidR="008857A7" w:rsidTr="001F6B37">
        <w:tc>
          <w:tcPr>
            <w:tcW w:w="3192" w:type="dxa"/>
          </w:tcPr>
          <w:p w:rsidR="008857A7" w:rsidRPr="001F4530" w:rsidRDefault="008857A7" w:rsidP="001F6B37">
            <w:pPr>
              <w:jc w:val="center"/>
              <w:rPr>
                <w:sz w:val="18"/>
                <w:szCs w:val="18"/>
              </w:rPr>
            </w:pPr>
            <w:r w:rsidRPr="001F4530">
              <w:rPr>
                <w:sz w:val="20"/>
                <w:szCs w:val="20"/>
              </w:rPr>
              <w:t>controllerDetailsCallbackUri</w:t>
            </w:r>
          </w:p>
        </w:tc>
        <w:tc>
          <w:tcPr>
            <w:tcW w:w="3192" w:type="dxa"/>
          </w:tcPr>
          <w:p w:rsidR="008857A7" w:rsidRDefault="008857A7" w:rsidP="001F6B37">
            <w:pPr>
              <w:rPr>
                <w:sz w:val="18"/>
                <w:szCs w:val="18"/>
              </w:rPr>
            </w:pPr>
            <w:r>
              <w:rPr>
                <w:sz w:val="18"/>
                <w:szCs w:val="18"/>
              </w:rPr>
              <w:t>Uri for calling back connector details</w:t>
            </w:r>
          </w:p>
        </w:tc>
        <w:tc>
          <w:tcPr>
            <w:tcW w:w="3192" w:type="dxa"/>
          </w:tcPr>
          <w:p w:rsidR="008857A7" w:rsidRDefault="008857A7" w:rsidP="001F6B37">
            <w:pPr>
              <w:rPr>
                <w:sz w:val="18"/>
                <w:szCs w:val="18"/>
              </w:rPr>
            </w:pPr>
            <w:r>
              <w:rPr>
                <w:sz w:val="18"/>
                <w:szCs w:val="18"/>
              </w:rPr>
              <w:t>Not required – do not set when useCallback is false</w:t>
            </w:r>
          </w:p>
        </w:tc>
      </w:tr>
      <w:tr w:rsidR="008857A7" w:rsidTr="001F6B37">
        <w:tc>
          <w:tcPr>
            <w:tcW w:w="3192" w:type="dxa"/>
          </w:tcPr>
          <w:p w:rsidR="008857A7" w:rsidRPr="001F4530" w:rsidRDefault="008857A7" w:rsidP="001F6B37">
            <w:pPr>
              <w:jc w:val="center"/>
              <w:rPr>
                <w:sz w:val="18"/>
                <w:szCs w:val="18"/>
              </w:rPr>
            </w:pPr>
            <w:r w:rsidRPr="001F4530">
              <w:rPr>
                <w:sz w:val="20"/>
                <w:szCs w:val="20"/>
              </w:rPr>
              <w:t>controllerFileCallbackUri</w:t>
            </w:r>
          </w:p>
        </w:tc>
        <w:tc>
          <w:tcPr>
            <w:tcW w:w="3192" w:type="dxa"/>
          </w:tcPr>
          <w:p w:rsidR="008857A7" w:rsidRDefault="008857A7" w:rsidP="001F6B37">
            <w:pPr>
              <w:rPr>
                <w:sz w:val="18"/>
                <w:szCs w:val="18"/>
              </w:rPr>
            </w:pPr>
            <w:r>
              <w:rPr>
                <w:sz w:val="18"/>
                <w:szCs w:val="18"/>
              </w:rPr>
              <w:t>Uri for calling back with file details</w:t>
            </w:r>
          </w:p>
        </w:tc>
        <w:tc>
          <w:tcPr>
            <w:tcW w:w="3192" w:type="dxa"/>
          </w:tcPr>
          <w:p w:rsidR="008857A7" w:rsidRDefault="008857A7" w:rsidP="001F6B37">
            <w:pPr>
              <w:rPr>
                <w:sz w:val="18"/>
                <w:szCs w:val="18"/>
              </w:rPr>
            </w:pPr>
            <w:r>
              <w:rPr>
                <w:sz w:val="18"/>
                <w:szCs w:val="18"/>
              </w:rPr>
              <w:t>Not required – do not set when useCallback is false</w:t>
            </w:r>
          </w:p>
        </w:tc>
      </w:tr>
    </w:tbl>
    <w:p w:rsidR="00C71B0D" w:rsidRDefault="00C71B0D">
      <w:pPr>
        <w:rPr>
          <w:b/>
          <w:sz w:val="18"/>
          <w:szCs w:val="18"/>
        </w:rPr>
      </w:pPr>
    </w:p>
    <w:p w:rsidR="00C71B0D" w:rsidRPr="00E30799" w:rsidRDefault="008857A7">
      <w:pPr>
        <w:rPr>
          <w:sz w:val="18"/>
          <w:szCs w:val="18"/>
        </w:rPr>
      </w:pPr>
      <w:r w:rsidRPr="00E30799">
        <w:rPr>
          <w:sz w:val="18"/>
          <w:szCs w:val="18"/>
        </w:rPr>
        <w:t>The feed file that is produced by the job is written to the outputDirectory using the standard feed naming convention of:</w:t>
      </w:r>
    </w:p>
    <w:p w:rsidR="008857A7" w:rsidRDefault="008857A7">
      <w:pPr>
        <w:rPr>
          <w:sz w:val="18"/>
          <w:szCs w:val="18"/>
        </w:rPr>
      </w:pPr>
      <w:r w:rsidRPr="00E30799">
        <w:rPr>
          <w:sz w:val="18"/>
          <w:szCs w:val="18"/>
        </w:rPr>
        <w:t>[feedIdentifier]_</w:t>
      </w:r>
      <w:r w:rsidR="00E30799">
        <w:rPr>
          <w:sz w:val="18"/>
          <w:szCs w:val="18"/>
        </w:rPr>
        <w:t>1.</w:t>
      </w:r>
      <w:r w:rsidRPr="00E30799">
        <w:rPr>
          <w:sz w:val="18"/>
          <w:szCs w:val="18"/>
        </w:rPr>
        <w:t>yyyyMMDD</w:t>
      </w:r>
    </w:p>
    <w:p w:rsidR="00F004E6" w:rsidRDefault="00F004E6" w:rsidP="00F004E6">
      <w:pPr>
        <w:pStyle w:val="ListParagraph"/>
        <w:numPr>
          <w:ilvl w:val="0"/>
          <w:numId w:val="2"/>
        </w:numPr>
        <w:rPr>
          <w:sz w:val="18"/>
          <w:szCs w:val="18"/>
        </w:rPr>
      </w:pPr>
      <w:r w:rsidRPr="00F004E6">
        <w:rPr>
          <w:b/>
          <w:sz w:val="18"/>
          <w:szCs w:val="18"/>
        </w:rPr>
        <w:t>feedIdentifier</w:t>
      </w:r>
      <w:r>
        <w:rPr>
          <w:sz w:val="18"/>
          <w:szCs w:val="18"/>
        </w:rPr>
        <w:t xml:space="preserve"> indicates the type of feed that was generated</w:t>
      </w:r>
    </w:p>
    <w:p w:rsidR="00F004E6" w:rsidRPr="00F004E6" w:rsidRDefault="00F004E6" w:rsidP="00F004E6">
      <w:pPr>
        <w:pStyle w:val="ListParagraph"/>
        <w:numPr>
          <w:ilvl w:val="0"/>
          <w:numId w:val="2"/>
        </w:numPr>
        <w:rPr>
          <w:sz w:val="18"/>
          <w:szCs w:val="18"/>
        </w:rPr>
      </w:pPr>
      <w:r w:rsidRPr="00F004E6">
        <w:rPr>
          <w:b/>
          <w:sz w:val="18"/>
          <w:szCs w:val="18"/>
        </w:rPr>
        <w:t>yyyyMMdd</w:t>
      </w:r>
      <w:r>
        <w:rPr>
          <w:sz w:val="18"/>
          <w:szCs w:val="18"/>
        </w:rPr>
        <w:t xml:space="preserve"> indicates the date for which it was generated for</w:t>
      </w:r>
    </w:p>
    <w:p w:rsidR="007269C4" w:rsidRDefault="008857A7">
      <w:pPr>
        <w:rPr>
          <w:sz w:val="18"/>
          <w:szCs w:val="18"/>
        </w:rPr>
      </w:pPr>
      <w:r>
        <w:rPr>
          <w:sz w:val="18"/>
          <w:szCs w:val="18"/>
        </w:rPr>
        <w:t>Example of running a feed</w:t>
      </w:r>
      <w:r w:rsidR="00F004E6">
        <w:rPr>
          <w:sz w:val="18"/>
          <w:szCs w:val="18"/>
        </w:rPr>
        <w:t>_dps</w:t>
      </w:r>
      <w:r>
        <w:rPr>
          <w:sz w:val="18"/>
          <w:szCs w:val="18"/>
        </w:rPr>
        <w:t xml:space="preserve"> job:</w:t>
      </w:r>
    </w:p>
    <w:p w:rsidR="008857A7" w:rsidRPr="007269C4" w:rsidRDefault="008857A7">
      <w:pPr>
        <w:rPr>
          <w:sz w:val="18"/>
          <w:szCs w:val="18"/>
        </w:rPr>
      </w:pPr>
      <w:r>
        <w:rPr>
          <w:noProof/>
          <w:sz w:val="18"/>
          <w:szCs w:val="18"/>
        </w:rPr>
        <w:lastRenderedPageBreak/>
        <w:drawing>
          <wp:inline distT="0" distB="0" distL="0" distR="0">
            <wp:extent cx="5930265" cy="2258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2258695"/>
                    </a:xfrm>
                    <a:prstGeom prst="rect">
                      <a:avLst/>
                    </a:prstGeom>
                    <a:noFill/>
                    <a:ln>
                      <a:noFill/>
                    </a:ln>
                  </pic:spPr>
                </pic:pic>
              </a:graphicData>
            </a:graphic>
          </wp:inline>
        </w:drawing>
      </w:r>
    </w:p>
    <w:p w:rsidR="00013327" w:rsidRDefault="00013327">
      <w:pPr>
        <w:rPr>
          <w:sz w:val="18"/>
          <w:szCs w:val="18"/>
        </w:rPr>
      </w:pPr>
      <w:r>
        <w:rPr>
          <w:sz w:val="18"/>
          <w:szCs w:val="18"/>
        </w:rPr>
        <w:br w:type="page"/>
      </w:r>
    </w:p>
    <w:p w:rsidR="00F004E6" w:rsidRDefault="00F004E6" w:rsidP="00F004E6">
      <w:pPr>
        <w:rPr>
          <w:b/>
        </w:rPr>
      </w:pPr>
      <w:bookmarkStart w:id="0" w:name="_GoBack"/>
      <w:bookmarkEnd w:id="0"/>
      <w:r>
        <w:rPr>
          <w:b/>
        </w:rPr>
        <w:lastRenderedPageBreak/>
        <w:t>End-to-End Process</w:t>
      </w:r>
    </w:p>
    <w:p w:rsidR="00F004E6" w:rsidRDefault="00F004E6" w:rsidP="00F004E6">
      <w:pPr>
        <w:rPr>
          <w:sz w:val="18"/>
          <w:szCs w:val="18"/>
        </w:rPr>
      </w:pPr>
      <w:r w:rsidRPr="00F004E6">
        <w:rPr>
          <w:sz w:val="18"/>
          <w:szCs w:val="18"/>
        </w:rPr>
        <w:t xml:space="preserve">In order use the ETL jobs to generate all of the feeds for a single day of client data outside of the DNA </w:t>
      </w:r>
      <w:r w:rsidR="00375297">
        <w:rPr>
          <w:sz w:val="18"/>
          <w:szCs w:val="18"/>
        </w:rPr>
        <w:t>environment;</w:t>
      </w:r>
      <w:r w:rsidRPr="00F004E6">
        <w:rPr>
          <w:sz w:val="18"/>
          <w:szCs w:val="18"/>
        </w:rPr>
        <w:t xml:space="preserve"> the following paradigm can be used:</w:t>
      </w:r>
    </w:p>
    <w:p w:rsidR="00F004E6" w:rsidRDefault="00F004E6" w:rsidP="00F004E6">
      <w:pPr>
        <w:pStyle w:val="ListParagraph"/>
        <w:numPr>
          <w:ilvl w:val="0"/>
          <w:numId w:val="3"/>
        </w:numPr>
        <w:rPr>
          <w:sz w:val="18"/>
          <w:szCs w:val="18"/>
        </w:rPr>
      </w:pPr>
      <w:r>
        <w:rPr>
          <w:sz w:val="18"/>
          <w:szCs w:val="18"/>
        </w:rPr>
        <w:t>Collect all of the input files.  This can be done by simply locating the files to be processed or by invoking connector jobs to acquire the data.</w:t>
      </w:r>
    </w:p>
    <w:p w:rsidR="00F004E6" w:rsidRDefault="00F004E6" w:rsidP="00F004E6">
      <w:pPr>
        <w:pStyle w:val="ListParagraph"/>
        <w:numPr>
          <w:ilvl w:val="0"/>
          <w:numId w:val="3"/>
        </w:numPr>
        <w:rPr>
          <w:sz w:val="18"/>
          <w:szCs w:val="18"/>
        </w:rPr>
      </w:pPr>
      <w:r>
        <w:rPr>
          <w:sz w:val="18"/>
          <w:szCs w:val="18"/>
        </w:rPr>
        <w:t>Determine which client ETL job to execute against each input file.   Execute the client ETL job and collect all of the resulting fragments (across all of the jobs) into a single feed input directory.</w:t>
      </w:r>
    </w:p>
    <w:p w:rsidR="00F004E6" w:rsidRPr="00F004E6" w:rsidRDefault="00F004E6" w:rsidP="00F004E6">
      <w:pPr>
        <w:pStyle w:val="ListParagraph"/>
        <w:numPr>
          <w:ilvl w:val="0"/>
          <w:numId w:val="3"/>
        </w:numPr>
        <w:rPr>
          <w:sz w:val="18"/>
          <w:szCs w:val="18"/>
        </w:rPr>
      </w:pPr>
      <w:r>
        <w:rPr>
          <w:sz w:val="18"/>
          <w:szCs w:val="18"/>
        </w:rPr>
        <w:t>Execute each of the desired feed_dps ETL jobs specifying the input directory where the fragments have been collected.  Each job will produce a single feed file (in the DNA</w:t>
      </w:r>
      <w:r w:rsidR="00E03B98">
        <w:rPr>
          <w:sz w:val="18"/>
          <w:szCs w:val="18"/>
        </w:rPr>
        <w:t xml:space="preserve"> internal</w:t>
      </w:r>
      <w:r>
        <w:rPr>
          <w:sz w:val="18"/>
          <w:szCs w:val="18"/>
        </w:rPr>
        <w:t xml:space="preserve"> feed specification format) for the date into the configured output directory.</w:t>
      </w:r>
    </w:p>
    <w:p w:rsidR="00F3318B" w:rsidRDefault="00F004E6">
      <w:r>
        <w:rPr>
          <w:b/>
        </w:rPr>
        <w:t xml:space="preserve"> </w:t>
      </w:r>
    </w:p>
    <w:p w:rsidR="00F3318B" w:rsidRDefault="00F3318B"/>
    <w:sectPr w:rsidR="00F3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E5D71"/>
    <w:multiLevelType w:val="hybridMultilevel"/>
    <w:tmpl w:val="E632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25B62"/>
    <w:multiLevelType w:val="hybridMultilevel"/>
    <w:tmpl w:val="FCFE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394D8E"/>
    <w:multiLevelType w:val="hybridMultilevel"/>
    <w:tmpl w:val="F176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18B"/>
    <w:rsid w:val="00013327"/>
    <w:rsid w:val="00013867"/>
    <w:rsid w:val="001F4530"/>
    <w:rsid w:val="00203883"/>
    <w:rsid w:val="00375297"/>
    <w:rsid w:val="00454B5C"/>
    <w:rsid w:val="00622938"/>
    <w:rsid w:val="007269C4"/>
    <w:rsid w:val="00794B45"/>
    <w:rsid w:val="008857A7"/>
    <w:rsid w:val="009419D4"/>
    <w:rsid w:val="00C16578"/>
    <w:rsid w:val="00C71B0D"/>
    <w:rsid w:val="00D8616F"/>
    <w:rsid w:val="00DF1495"/>
    <w:rsid w:val="00E03B98"/>
    <w:rsid w:val="00E30799"/>
    <w:rsid w:val="00E85953"/>
    <w:rsid w:val="00F004E6"/>
    <w:rsid w:val="00F3318B"/>
    <w:rsid w:val="00F7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8B"/>
    <w:rPr>
      <w:rFonts w:ascii="Tahoma" w:hAnsi="Tahoma" w:cs="Tahoma"/>
      <w:sz w:val="16"/>
      <w:szCs w:val="16"/>
    </w:rPr>
  </w:style>
  <w:style w:type="table" w:styleId="TableGrid">
    <w:name w:val="Table Grid"/>
    <w:basedOn w:val="TableNormal"/>
    <w:uiPriority w:val="59"/>
    <w:rsid w:val="0094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9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8B"/>
    <w:rPr>
      <w:rFonts w:ascii="Tahoma" w:hAnsi="Tahoma" w:cs="Tahoma"/>
      <w:sz w:val="16"/>
      <w:szCs w:val="16"/>
    </w:rPr>
  </w:style>
  <w:style w:type="table" w:styleId="TableGrid">
    <w:name w:val="Table Grid"/>
    <w:basedOn w:val="TableNormal"/>
    <w:uiPriority w:val="59"/>
    <w:rsid w:val="0094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3CE98-CF4B-4B04-AF71-7B5A0665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Steve</cp:lastModifiedBy>
  <cp:revision>8</cp:revision>
  <dcterms:created xsi:type="dcterms:W3CDTF">2018-06-11T15:54:00Z</dcterms:created>
  <dcterms:modified xsi:type="dcterms:W3CDTF">2018-06-11T21:41:00Z</dcterms:modified>
</cp:coreProperties>
</file>