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standardized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risk-based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heterogeneity</w:t>
      </w:r>
      <w:r>
        <w:t xml:space="preserve"> </w:t>
      </w:r>
      <w:r>
        <w:t xml:space="preserve">in</w:t>
      </w:r>
      <w:r>
        <w:t xml:space="preserve"> </w:t>
      </w:r>
      <w:r>
        <w:t xml:space="preserve">observational</w:t>
      </w:r>
      <w:r>
        <w:t xml:space="preserve"> </w:t>
      </w:r>
      <w:r>
        <w:t xml:space="preserve">healthcare</w:t>
      </w:r>
      <w:r>
        <w:t xml:space="preserve"> </w:t>
      </w:r>
      <w:r>
        <w:t xml:space="preserve">databases</w:t>
      </w:r>
    </w:p>
    <w:p>
      <w:r>
        <w:br w:type="page"/>
      </w:r>
    </w:p>
    <w:p>
      <w:pPr>
        <w:pStyle w:val="Heading1"/>
      </w:pPr>
      <w:bookmarkStart w:id="20" w:name="abstract-247-words"/>
      <w:r>
        <w:t xml:space="preserve">1	Abstract (247 words)</w:t>
      </w:r>
      <w:bookmarkEnd w:id="20"/>
    </w:p>
    <w:p>
      <w:pPr>
        <w:pStyle w:val="FirstParagraph"/>
      </w:pPr>
      <w:r>
        <w:rPr>
          <w:b/>
        </w:rPr>
        <w:t xml:space="preserve">Aim:</w:t>
      </w:r>
      <w:r>
        <w:t xml:space="preserve"> </w:t>
      </w:r>
      <w:r>
        <w:t xml:space="preserve">One of the aims of the Observation Health Data Sciences</w:t>
      </w:r>
      <w:r>
        <w:t xml:space="preserve"> </w:t>
      </w:r>
      <w:r>
        <w:t xml:space="preserve">and Informatics (OHDSI) initiative is population-level treatment effect</w:t>
      </w:r>
      <w:r>
        <w:t xml:space="preserve"> </w:t>
      </w:r>
      <w:r>
        <w:t xml:space="preserve">estimation in large observational databases. Since treatment effects are</w:t>
      </w:r>
      <w:r>
        <w:t xml:space="preserve"> </w:t>
      </w:r>
      <w:r>
        <w:t xml:space="preserve">well-known to vary across groups of patients with different baseline risk, we</w:t>
      </w:r>
      <w:r>
        <w:t xml:space="preserve"> </w:t>
      </w:r>
      <w:r>
        <w:t xml:space="preserve">aimed to extend the OHDSI methods library with a framework for risk-based</w:t>
      </w:r>
      <w:r>
        <w:t xml:space="preserve"> </w:t>
      </w:r>
      <w:r>
        <w:t xml:space="preserve">assessment of treatment effect heterogeneity.</w:t>
      </w:r>
    </w:p>
    <w:p>
      <w:pPr>
        <w:pStyle w:val="BodyText"/>
      </w:pPr>
      <w:r>
        <w:rPr>
          <w:b/>
        </w:rPr>
        <w:t xml:space="preserve">Materials and Methods:</w:t>
      </w:r>
      <w:r>
        <w:t xml:space="preserve"> </w:t>
      </w:r>
      <w:r>
        <w:t xml:space="preserve">The proposed framework consists of five steps: 1)</w:t>
      </w:r>
      <w:r>
        <w:t xml:space="preserve"> </w:t>
      </w:r>
      <w:r>
        <w:t xml:space="preserve">definition of the problem, i.e. the population, the treatment, the comparator</w:t>
      </w:r>
      <w:r>
        <w:t xml:space="preserve"> </w:t>
      </w:r>
      <w:r>
        <w:t xml:space="preserve">and the outcome(s) of interest; 2) identification of relevant databases; 3)</w:t>
      </w:r>
      <w:r>
        <w:t xml:space="preserve"> </w:t>
      </w:r>
      <w:r>
        <w:t xml:space="preserve">development of a prediction model for the outcome(s) of interest; 4) estimation</w:t>
      </w:r>
      <w:r>
        <w:t xml:space="preserve"> </w:t>
      </w:r>
      <w:r>
        <w:t xml:space="preserve">of propensity scores within strata of predicted risk and estimation of relative</w:t>
      </w:r>
      <w:r>
        <w:t xml:space="preserve"> </w:t>
      </w:r>
      <w:r>
        <w:t xml:space="preserve">and absolute treatment effect within strata of predicted risk; 5) evaluation and</w:t>
      </w:r>
      <w:r>
        <w:t xml:space="preserve"> </w:t>
      </w:r>
      <w:r>
        <w:t xml:space="preserve">presentation of results.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We demonstrate our framework by evaluating heterogeneity of the</w:t>
      </w:r>
      <w:r>
        <w:t xml:space="preserve"> </w:t>
      </w:r>
      <w:r>
        <w:t xml:space="preserve">effect of angiotensin-converting enzyme (ACE) inhibitors versus beta blockers on</w:t>
      </w:r>
      <w:r>
        <w:t xml:space="preserve"> </w:t>
      </w:r>
      <w:r>
        <w:t xml:space="preserve">a set of 9 outcomes of interest across three observational databases. With</w:t>
      </w:r>
      <w:r>
        <w:t xml:space="preserve"> </w:t>
      </w:r>
      <w:r>
        <w:t xml:space="preserve">increasing risk of acute myocardial infarction we observed increasing absolute</w:t>
      </w:r>
      <w:r>
        <w:t xml:space="preserve"> </w:t>
      </w:r>
      <w:r>
        <w:t xml:space="preserve">benefits, i.e. from -0.03% to 0.54% in the lowest to highest risk groups.</w:t>
      </w:r>
      <w:r>
        <w:t xml:space="preserve"> </w:t>
      </w:r>
      <w:r>
        <w:t xml:space="preserve">Cough-related absolute harms decreased from 4.1% to 2.6%.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The proposed framework may be useful for the evaluation of</w:t>
      </w:r>
      <w:r>
        <w:t xml:space="preserve"> </w:t>
      </w:r>
      <w:r>
        <w:t xml:space="preserve">heterogeneity of treatment effect on observational data that are mapped to the</w:t>
      </w:r>
      <w:r>
        <w:t xml:space="preserve"> </w:t>
      </w:r>
      <w:r>
        <w:t xml:space="preserve">OMOP Common Data Model. The proof of concept study demonstrates its feasibility</w:t>
      </w:r>
      <w:r>
        <w:t xml:space="preserve"> </w:t>
      </w:r>
      <w:r>
        <w:t xml:space="preserve">in large observational data. Further insights may arise by application to safety</w:t>
      </w:r>
      <w:r>
        <w:t xml:space="preserve"> </w:t>
      </w:r>
      <w:r>
        <w:t xml:space="preserve">and effectiveness questions across the global data network.</w:t>
      </w:r>
    </w:p>
    <w:p>
      <w:pPr>
        <w:pStyle w:val="Heading1"/>
      </w:pPr>
      <w:bookmarkStart w:id="21" w:name="introduction"/>
      <w:r>
        <w:t xml:space="preserve">2	Introduction</w:t>
      </w:r>
      <w:bookmarkEnd w:id="21"/>
    </w:p>
    <w:p>
      <w:pPr>
        <w:pStyle w:val="FirstParagraph"/>
      </w:pPr>
      <w:r>
        <w:t xml:space="preserve">Interest in understanding how a treatment’s effect varies across patients—a</w:t>
      </w:r>
      <w:r>
        <w:t xml:space="preserve"> </w:t>
      </w:r>
      <w:r>
        <w:t xml:space="preserve">concept described as heterogeneity of treatment effects (HTE)—has been growing.</w:t>
      </w:r>
      <w:r>
        <w:t xml:space="preserve"> </w:t>
      </w:r>
      <w:r>
        <w:t xml:space="preserve">This concept is central to the agenda for both personalized (or precision)</w:t>
      </w:r>
      <w:r>
        <w:t xml:space="preserve"> </w:t>
      </w:r>
      <w:r>
        <w:t xml:space="preserve">medicine and comparative effectiveness research. More formally, HTE has been</w:t>
      </w:r>
      <w:r>
        <w:t xml:space="preserve"> </w:t>
      </w:r>
      <w:r>
        <w:t xml:space="preserve">defined as non-random variability in the direction or magnitude of a treatment</w:t>
      </w:r>
      <w:r>
        <w:t xml:space="preserve"> </w:t>
      </w:r>
      <w:r>
        <w:t xml:space="preserve">effect, in which the effect is measured using clinical outcomes. Usually,</w:t>
      </w:r>
      <w:r>
        <w:t xml:space="preserve"> </w:t>
      </w:r>
      <w:r>
        <w:t xml:space="preserve">analyses focus on the relative scale, where treatment effects are assessed one</w:t>
      </w:r>
      <w:r>
        <w:t xml:space="preserve"> </w:t>
      </w:r>
      <w:r>
        <w:t xml:space="preserve">at a time in patient subgroups defined from single covariates, an approach that</w:t>
      </w:r>
      <w:r>
        <w:t xml:space="preserve"> </w:t>
      </w:r>
      <w:r>
        <w:t xml:space="preserve">suffers from low power and multiplicity issues. However, even with</w:t>
      </w:r>
      <w:r>
        <w:t xml:space="preserve"> </w:t>
      </w:r>
      <w:r>
        <w:t xml:space="preserve">well-established constant relative effects, treatment benefit (or harm) may vary</w:t>
      </w:r>
      <w:r>
        <w:t xml:space="preserve"> </w:t>
      </w:r>
      <w:r>
        <w:t xml:space="preserve">substantially on the absolute scale.</w:t>
      </w:r>
    </w:p>
    <w:p>
      <w:pPr>
        <w:pStyle w:val="BodyText"/>
      </w:pPr>
      <w:r>
        <w:t xml:space="preserve">More recently,</w:t>
      </w:r>
      <w:r>
        <w:t xml:space="preserve"> </w:t>
      </w:r>
      <w:r>
        <w:t xml:space="preserve">“</w:t>
      </w:r>
      <w:r>
        <w:t xml:space="preserve">predictive</w:t>
      </w:r>
      <w:r>
        <w:t xml:space="preserve">”</w:t>
      </w:r>
      <w:r>
        <w:t xml:space="preserve"> </w:t>
      </w:r>
      <w:r>
        <w:t xml:space="preserve">HTE analyses have been described (and contrasted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one-variable-at-a-time</w:t>
      </w:r>
      <w:r>
        <w:t xml:space="preserve">”</w:t>
      </w:r>
      <w:r>
        <w:t xml:space="preserve"> </w:t>
      </w:r>
      <w:r>
        <w:t xml:space="preserve">subgroup analysis) as approaches that provide</w:t>
      </w:r>
      <w:r>
        <w:t xml:space="preserve"> </w:t>
      </w:r>
      <w:r>
        <w:t xml:space="preserve">predictions of potential outcomes in a particular patient with one intervention</w:t>
      </w:r>
      <w:r>
        <w:t xml:space="preserve"> </w:t>
      </w:r>
      <w:r>
        <w:t xml:space="preserve">versus an alternative, taking into account multiple relevant patient</w:t>
      </w:r>
      <w:r>
        <w:t xml:space="preserve"> </w:t>
      </w:r>
      <w:r>
        <w:t xml:space="preserve">characteristics. One promising approach is</w:t>
      </w:r>
      <w:r>
        <w:t xml:space="preserve"> </w:t>
      </w:r>
      <w:r>
        <w:t xml:space="preserve">“</w:t>
      </w:r>
      <w:r>
        <w:t xml:space="preserve">risk modeling</w:t>
      </w:r>
      <w:r>
        <w:t xml:space="preserve">”</w:t>
      </w:r>
      <w:r>
        <w:t xml:space="preserve">, in which treatment</w:t>
      </w:r>
      <w:r>
        <w:t xml:space="preserve"> </w:t>
      </w:r>
      <w:r>
        <w:t xml:space="preserve">effects are estimated in strata of predicted risk. Such a risk-based approach</w:t>
      </w:r>
      <w:r>
        <w:t xml:space="preserve"> </w:t>
      </w:r>
      <w:r>
        <w:t xml:space="preserve">first stratifies patients according to baseline risk predictions, using either</w:t>
      </w:r>
      <w:r>
        <w:t xml:space="preserve"> </w:t>
      </w:r>
      <w:r>
        <w:t xml:space="preserve">an existing or an internally developed risk prediction model. Then, relative and</w:t>
      </w:r>
      <w:r>
        <w:t xml:space="preserve"> </w:t>
      </w:r>
      <w:r>
        <w:t xml:space="preserve">absolute treatment effects are estimated within risk strata.</w:t>
      </w:r>
    </w:p>
    <w:p>
      <w:pPr>
        <w:pStyle w:val="BodyText"/>
      </w:pPr>
      <w:r>
        <w:t xml:space="preserve">While these approaches have generally been recommended for application to</w:t>
      </w:r>
      <w:r>
        <w:t xml:space="preserve"> </w:t>
      </w:r>
      <w:r>
        <w:t xml:space="preserve">clinical trials, observational databases are also an appealing substrate.</w:t>
      </w:r>
      <w:r>
        <w:t xml:space="preserve"> </w:t>
      </w:r>
      <w:r>
        <w:t xml:space="preserve">Observational healthcare databases, such as administrative claims and electronic</w:t>
      </w:r>
      <w:r>
        <w:t xml:space="preserve"> </w:t>
      </w:r>
      <w:r>
        <w:t xml:space="preserve">health records, are already highly available for the analysis of</w:t>
      </w:r>
      <w:r>
        <w:t xml:space="preserve"> </w:t>
      </w:r>
      <w:r>
        <w:t xml:space="preserve">pharmacoepidemiologic research questions. They are also often larger than many</w:t>
      </w:r>
      <w:r>
        <w:t xml:space="preserve"> </w:t>
      </w:r>
      <w:r>
        <w:t xml:space="preserve">typical trials, providing excellent power for HTE analysis, and include</w:t>
      </w:r>
      <w:r>
        <w:t xml:space="preserve"> </w:t>
      </w:r>
      <w:r>
        <w:t xml:space="preserve">heterogeneous populations. However, unlike trials, treatment effects are subject</w:t>
      </w:r>
      <w:r>
        <w:t xml:space="preserve"> </w:t>
      </w:r>
      <w:r>
        <w:t xml:space="preserve">to confounding and the unique structure of different databases calls for</w:t>
      </w:r>
      <w:r>
        <w:t xml:space="preserve"> </w:t>
      </w:r>
      <w:r>
        <w:t xml:space="preserve">database-specific analysis plans that are often not easily transportable.</w:t>
      </w:r>
    </w:p>
    <w:p>
      <w:pPr>
        <w:pStyle w:val="BodyText"/>
      </w:pPr>
      <w:r>
        <w:t xml:space="preserve">The Observational Health Data Sciences and Informatics (OHDSI) collaborative has</w:t>
      </w:r>
      <w:r>
        <w:t xml:space="preserve"> </w:t>
      </w:r>
      <w:r>
        <w:t xml:space="preserve">established an international network of data partners and researchers that aim</w:t>
      </w:r>
      <w:r>
        <w:t xml:space="preserve"> </w:t>
      </w:r>
      <w:r>
        <w:t xml:space="preserve">to bring out the value of health data through large-scale analytics by mapping</w:t>
      </w:r>
      <w:r>
        <w:t xml:space="preserve"> </w:t>
      </w:r>
      <w:r>
        <w:t xml:space="preserve">all available databases to the Observational Medical Outcomes Partnership (OMOP)</w:t>
      </w:r>
      <w:r>
        <w:t xml:space="preserve"> </w:t>
      </w:r>
      <w:r>
        <w:t xml:space="preserve">Common Data Model (CDM). The common data structure enables analyses at a very</w:t>
      </w:r>
      <w:r>
        <w:t xml:space="preserve"> </w:t>
      </w:r>
      <w:r>
        <w:t xml:space="preserve">large scale. For example, in a recent study, a large set of first-line</w:t>
      </w:r>
      <w:r>
        <w:t xml:space="preserve"> </w:t>
      </w:r>
      <w:r>
        <w:t xml:space="preserve">treatments for hypertension was compared with respect to 55 outcomes in a</w:t>
      </w:r>
      <w:r>
        <w:t xml:space="preserve"> </w:t>
      </w:r>
      <w:r>
        <w:t xml:space="preserve">network of databases, including 4.9 million patients from around the world.</w:t>
      </w:r>
    </w:p>
    <w:p>
      <w:pPr>
        <w:pStyle w:val="BodyText"/>
      </w:pPr>
      <w:r>
        <w:t xml:space="preserve">We aimed to develop a framework for risk-based assessment of treatment effect</w:t>
      </w:r>
      <w:r>
        <w:t xml:space="preserve"> </w:t>
      </w:r>
      <w:r>
        <w:t xml:space="preserve">heterogeneity in high-dimensional observational data. We implemented the</w:t>
      </w:r>
      <w:r>
        <w:t xml:space="preserve"> </w:t>
      </w:r>
      <w:r>
        <w:t xml:space="preserve">framework using existing OHDSI methods for use in the OMOP-CDM, including the</w:t>
      </w:r>
      <w:r>
        <w:t xml:space="preserve"> </w:t>
      </w:r>
      <w:r>
        <w:t xml:space="preserve">patient-level prediction framework and the population-level effect estimation</w:t>
      </w:r>
      <w:r>
        <w:t xml:space="preserve"> </w:t>
      </w:r>
      <w:r>
        <w:t xml:space="preserve">framework based on new-user cohort design. As a proof-of-concept we analyzed</w:t>
      </w:r>
      <w:r>
        <w:t xml:space="preserve"> </w:t>
      </w:r>
      <w:r>
        <w:t xml:space="preserve">heterogeneity of the effects of first-line hypertension treatment: we compared</w:t>
      </w:r>
      <w:r>
        <w:t xml:space="preserve"> </w:t>
      </w:r>
      <w:r>
        <w:t xml:space="preserve">the effect of angiotensin converting enzyme (ACE) inhibitors to beta blockers on</w:t>
      </w:r>
      <w:r>
        <w:t xml:space="preserve"> </w:t>
      </w:r>
      <w:r>
        <w:t xml:space="preserve">9 outcomes across three different US claims databases.</w:t>
      </w:r>
    </w:p>
    <w:p>
      <w:pPr>
        <w:pStyle w:val="Heading1"/>
      </w:pPr>
      <w:bookmarkStart w:id="22" w:name="methods"/>
      <w:r>
        <w:t xml:space="preserve">3	Methods</w:t>
      </w:r>
      <w:bookmarkEnd w:id="22"/>
    </w:p>
    <w:p>
      <w:pPr>
        <w:pStyle w:val="FirstParagraph"/>
      </w:pPr>
      <w:r>
        <w:t xml:space="preserve">The proposed framework defines 5 distinct steps that enable a standardized</w:t>
      </w:r>
      <w:r>
        <w:t xml:space="preserve"> </w:t>
      </w:r>
      <w:r>
        <w:t xml:space="preserve">approach for risk-based assessment of treatment effect heterogeneity for</w:t>
      </w:r>
      <w:r>
        <w:t xml:space="preserve"> </w:t>
      </w:r>
      <w:r>
        <w:t xml:space="preserve">databases mapped to the OMOP-CDM. These are: 1) general definition of the</w:t>
      </w:r>
      <w:r>
        <w:t xml:space="preserve"> </w:t>
      </w:r>
      <w:r>
        <w:t xml:space="preserve">research aim; 2) identification of the database within which the analyses will</w:t>
      </w:r>
      <w:r>
        <w:t xml:space="preserve"> </w:t>
      </w:r>
      <w:r>
        <w:t xml:space="preserve">be performed; 3) a prediction step where internal or external prediction models</w:t>
      </w:r>
      <w:r>
        <w:t xml:space="preserve"> </w:t>
      </w:r>
      <w:r>
        <w:t xml:space="preserve">are used to assign patient-level risk predictions; 4) an estimation step where</w:t>
      </w:r>
      <w:r>
        <w:t xml:space="preserve"> </w:t>
      </w:r>
      <w:r>
        <w:t xml:space="preserve">absolute and relative treatment effects are estimated within risk strata; 5)</w:t>
      </w:r>
      <w:r>
        <w:t xml:space="preserve"> </w:t>
      </w:r>
      <w:r>
        <w:t xml:space="preserve">presentation and evaluation of the results. A simple overview of the procedure</w:t>
      </w:r>
      <w:r>
        <w:t xml:space="preserve"> </w:t>
      </w:r>
      <w:r>
        <w:t xml:space="preserve">can be seen in Figure XXXX.</w:t>
      </w:r>
    </w:p>
    <w:p>
      <w:pPr>
        <w:pStyle w:val="Heading2"/>
      </w:pPr>
      <w:bookmarkStart w:id="23" w:name="step-1-general-definition-of-the-problem"/>
      <w:r>
        <w:t xml:space="preserve">3.1	Step 1: General definition of the problem</w:t>
      </w:r>
      <w:bookmarkEnd w:id="23"/>
    </w:p>
    <w:p>
      <w:pPr>
        <w:pStyle w:val="FirstParagraph"/>
      </w:pPr>
      <w:r>
        <w:t xml:space="preserve">The typical research aim is:</w:t>
      </w:r>
      <w:r>
        <w:t xml:space="preserve"> </w:t>
      </w:r>
      <w:r>
        <w:t xml:space="preserve">“</w:t>
      </w:r>
      <w:r>
        <w:t xml:space="preserve">to compare the effect of treatment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to a</w:t>
      </w:r>
      <w:r>
        <w:t xml:space="preserve"> </w:t>
      </w:r>
      <w:r>
        <w:t xml:space="preserve">comparator treatment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patients with disease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with respect to outcomes</w:t>
      </w:r>
      <w:r>
        <w:t xml:space="preserve"> </w:t>
      </w:r>
      <m:oMath>
        <m:sSub>
          <m:e>
            <m:r>
              <m:t>O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O</m:t>
            </m:r>
          </m:e>
          <m:sub>
            <m:r>
              <m:t>n</m:t>
            </m:r>
          </m:sub>
        </m:sSub>
      </m:oMath>
      <w:r>
        <w:t xml:space="preserve">”</w:t>
      </w:r>
      <w:r>
        <w:t xml:space="preserve">. At least three cohorts are defined:</w:t>
      </w:r>
    </w:p>
    <w:p>
      <w:pPr>
        <w:numPr>
          <w:ilvl w:val="0"/>
          <w:numId w:val="1001"/>
        </w:numPr>
        <w:pStyle w:val="Compact"/>
      </w:pPr>
      <w:r>
        <w:t xml:space="preserve">A single treatment cohort (</w:t>
      </w:r>
      <m:oMath>
        <m:r>
          <m:t>T</m:t>
        </m:r>
      </m:oMath>
      <w:r>
        <w:t xml:space="preserve">) which includes patients with disease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receiving the target treatment of interest. For example, a set of hypertension</w:t>
      </w:r>
      <w:r>
        <w:t xml:space="preserve"> </w:t>
      </w:r>
      <w:r>
        <w:t xml:space="preserve">patients within a database that receive angiotensin-converting enzyme</w:t>
      </w:r>
      <w:r>
        <w:t xml:space="preserve"> </w:t>
      </w:r>
      <w:r>
        <w:t xml:space="preserve">inhibitors, followed from the time of initiation until the time of censoring.</w:t>
      </w:r>
    </w:p>
    <w:p>
      <w:pPr>
        <w:numPr>
          <w:ilvl w:val="0"/>
          <w:numId w:val="1001"/>
        </w:numPr>
        <w:pStyle w:val="Compact"/>
      </w:pPr>
      <w:r>
        <w:t xml:space="preserve">A single comparator cohort (</w:t>
      </w:r>
      <m:oMath>
        <m:r>
          <m:t>C</m:t>
        </m:r>
      </m:oMath>
      <w:r>
        <w:t xml:space="preserve">) which includes patients with disease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receiving the comparator (control) treatment. For example, a set of patients</w:t>
      </w:r>
      <w:r>
        <w:t xml:space="preserve"> </w:t>
      </w:r>
      <w:r>
        <w:t xml:space="preserve">in a database that receive beta blockers, followed from the time of initiation</w:t>
      </w:r>
      <w:r>
        <w:t xml:space="preserve"> </w:t>
      </w:r>
      <w:r>
        <w:t xml:space="preserve">until the time of censoring.</w:t>
      </w:r>
    </w:p>
    <w:p>
      <w:pPr>
        <w:numPr>
          <w:ilvl w:val="0"/>
          <w:numId w:val="1001"/>
        </w:numPr>
        <w:pStyle w:val="Compact"/>
      </w:pPr>
      <w:r>
        <w:t xml:space="preserve">One or more outcome cohorts (</w:t>
      </w:r>
      <m:oMath>
        <m:sSub>
          <m:e>
            <m:r>
              <m:t>O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O</m:t>
            </m:r>
          </m:e>
          <m:sub>
            <m:r>
              <m:t>n</m:t>
            </m:r>
          </m:sub>
        </m:sSub>
      </m:oMath>
      <w:r>
        <w:t xml:space="preserve">) that contain patients</w:t>
      </w:r>
      <w:r>
        <w:t xml:space="preserve"> </w:t>
      </w:r>
      <w:r>
        <w:t xml:space="preserve">developing the outcomes of interest. For example, the</w:t>
      </w:r>
      <w:r>
        <w:t xml:space="preserve"> </w:t>
      </w:r>
      <w:r>
        <w:t xml:space="preserve">set of patients in a database that have at least one occurrence of acute</w:t>
      </w:r>
      <w:r>
        <w:t xml:space="preserve"> </w:t>
      </w:r>
      <w:r>
        <w:t xml:space="preserve">myocardial infarction in their record.</w:t>
      </w:r>
    </w:p>
    <w:p>
      <w:pPr>
        <w:pStyle w:val="Heading2"/>
      </w:pPr>
      <w:bookmarkStart w:id="24" w:name="step-2-identification-of-the-database"/>
      <w:r>
        <w:t xml:space="preserve">3.2	Step 2: Identification of the database</w:t>
      </w:r>
      <w:bookmarkEnd w:id="24"/>
    </w:p>
    <w:p>
      <w:pPr>
        <w:pStyle w:val="FirstParagraph"/>
      </w:pPr>
      <w:r>
        <w:t xml:space="preserve">The aim of this step is the inclusion of databases that represent the patient</w:t>
      </w:r>
      <w:r>
        <w:t xml:space="preserve"> </w:t>
      </w:r>
      <w:r>
        <w:t xml:space="preserve">population of interest. The inclusion of multiple databases potentially</w:t>
      </w:r>
      <w:r>
        <w:t xml:space="preserve"> </w:t>
      </w:r>
      <w:r>
        <w:t xml:space="preserve">increases the generalizability of results. Furthermore, the cohorts should</w:t>
      </w:r>
      <w:r>
        <w:t xml:space="preserve"> </w:t>
      </w:r>
      <w:r>
        <w:t xml:space="preserve">preferably have adequate sample size to ensure precise effect estimation, even</w:t>
      </w:r>
      <w:r>
        <w:t xml:space="preserve"> </w:t>
      </w:r>
      <w:r>
        <w:t xml:space="preserve">within smaller risk strata.</w:t>
      </w:r>
    </w:p>
    <w:p>
      <w:pPr>
        <w:pStyle w:val="Heading2"/>
      </w:pPr>
      <w:bookmarkStart w:id="25" w:name="step-3-prediction"/>
      <w:r>
        <w:t xml:space="preserve">3.3	Step 3: Prediction</w:t>
      </w:r>
      <w:bookmarkEnd w:id="25"/>
    </w:p>
    <w:p>
      <w:pPr>
        <w:pStyle w:val="FirstParagraph"/>
      </w:pPr>
      <w:r>
        <w:t xml:space="preserve">We adopt the standardized framework for the generation of patient-level</w:t>
      </w:r>
      <w:r>
        <w:t xml:space="preserve"> </w:t>
      </w:r>
      <w:r>
        <w:t xml:space="preserve">prediction models using observational data that ensures adherence to existing</w:t>
      </w:r>
      <w:r>
        <w:t xml:space="preserve"> </w:t>
      </w:r>
      <w:r>
        <w:t xml:space="preserve">guidelines. This prediction framework requires the definition of two essential</w:t>
      </w:r>
      <w:r>
        <w:t xml:space="preserve"> </w:t>
      </w:r>
      <w:r>
        <w:t xml:space="preserve">cohorts: a target cohort and an outcome cohort.</w:t>
      </w:r>
    </w:p>
    <w:p>
      <w:pPr>
        <w:pStyle w:val="BodyText"/>
      </w:pPr>
      <w:r>
        <w:t xml:space="preserve">To generate the target cohort we pool the already defined treatment cohort and</w:t>
      </w:r>
      <w:r>
        <w:t xml:space="preserve"> </w:t>
      </w:r>
      <w:r>
        <w:t xml:space="preserve">comparator cohort . However, for risk-based analysis of treatment effects it is</w:t>
      </w:r>
      <w:r>
        <w:t xml:space="preserve"> </w:t>
      </w:r>
      <w:r>
        <w:t xml:space="preserve">necessary to avoid deferentially fitting the prediction model to patients across</w:t>
      </w:r>
      <w:r>
        <w:t xml:space="preserve"> </w:t>
      </w:r>
      <w:r>
        <w:t xml:space="preserve">the treatment arm in order to avoid inducing spurious interactions. To do this,</w:t>
      </w:r>
      <w:r>
        <w:t xml:space="preserve"> </w:t>
      </w:r>
      <w:r>
        <w:t xml:space="preserve">we developed the patient-level prediction model in the propensity score-matched</w:t>
      </w:r>
      <w:r>
        <w:t xml:space="preserve"> </w:t>
      </w:r>
      <w:r>
        <w:t xml:space="preserve">subset of the population (1:1), where treatment assignment is well-balanced. The</w:t>
      </w:r>
      <w:r>
        <w:t xml:space="preserve"> </w:t>
      </w:r>
      <w:r>
        <w:t xml:space="preserve">propensity scores are based on LASSO logistic regression for modeling the</w:t>
      </w:r>
      <w:r>
        <w:t xml:space="preserve"> </w:t>
      </w:r>
      <w:r>
        <w:t xml:space="preserve">association between treatment assignment and all available demographics, drug</w:t>
      </w:r>
      <w:r>
        <w:t xml:space="preserve"> </w:t>
      </w:r>
      <w:r>
        <w:t xml:space="preserve">exposures, diagnoses, measurements and medical procedures. Finally, we need to</w:t>
      </w:r>
      <w:r>
        <w:t xml:space="preserve"> </w:t>
      </w:r>
      <w:r>
        <w:t xml:space="preserve">define the time horizon for which we aim to make predictions and we need to</w:t>
      </w:r>
      <w:r>
        <w:t xml:space="preserve"> </w:t>
      </w:r>
      <w:r>
        <w:t xml:space="preserve">select the machine-learning algorithm we want to use to generate patient-level</w:t>
      </w:r>
      <w:r>
        <w:t xml:space="preserve"> </w:t>
      </w:r>
      <w:r>
        <w:t xml:space="preserve">predictions. Currently, the available options are regularized logistic</w:t>
      </w:r>
      <w:r>
        <w:t xml:space="preserve"> </w:t>
      </w:r>
      <w:r>
        <w:t xml:space="preserve">regression, random forest, gradient boosting machines, decision tree, naive</w:t>
      </w:r>
      <w:r>
        <w:t xml:space="preserve"> </w:t>
      </w:r>
      <w:r>
        <w:t xml:space="preserve">Bayes, K-nearest neighbors, neural network and deep learning (convolutional</w:t>
      </w:r>
      <w:r>
        <w:t xml:space="preserve"> </w:t>
      </w:r>
      <w:r>
        <w:t xml:space="preserve">neural networks, recurrent neural network and deep nets).</w:t>
      </w:r>
    </w:p>
    <w:p>
      <w:pPr>
        <w:pStyle w:val="Heading2"/>
      </w:pPr>
      <w:bookmarkStart w:id="26" w:name="step-4-estimation"/>
      <w:r>
        <w:t xml:space="preserve">3.4	Step 4: Estimation</w:t>
      </w:r>
      <w:bookmarkEnd w:id="26"/>
    </w:p>
    <w:p>
      <w:pPr>
        <w:pStyle w:val="FirstParagraph"/>
      </w:pPr>
      <w:r>
        <w:t xml:space="preserve">We use the patient-level prediction model to divide the target population into</w:t>
      </w:r>
      <w:r>
        <w:t xml:space="preserve"> </w:t>
      </w:r>
      <w:r>
        <w:t xml:space="preserve">a set of equally-sized risk strata, typically 4 risk quarters. Then, we</w:t>
      </w:r>
      <w:r>
        <w:t xml:space="preserve"> </w:t>
      </w:r>
      <w:r>
        <w:t xml:space="preserve">estimate propensity scores within risk strata. These propensity scores are used</w:t>
      </w:r>
      <w:r>
        <w:t xml:space="preserve"> </w:t>
      </w:r>
      <w:r>
        <w:t xml:space="preserve">when estimating treatment effects, either by matching of patients from</w:t>
      </w:r>
      <w:r>
        <w:t xml:space="preserve"> </w:t>
      </w:r>
      <w:r>
        <w:t xml:space="preserve">different treatment cohorts, by stratification of patients into groups with</w:t>
      </w:r>
      <w:r>
        <w:t xml:space="preserve"> </w:t>
      </w:r>
      <w:r>
        <w:t xml:space="preserve">similar propensity scores, or by weighing patients’ contribution to the</w:t>
      </w:r>
      <w:r>
        <w:t xml:space="preserve"> </w:t>
      </w:r>
      <w:r>
        <w:t xml:space="preserve">estimation process. Within risk strata we estimate treatment effect both on the</w:t>
      </w:r>
      <w:r>
        <w:t xml:space="preserve"> </w:t>
      </w:r>
      <w:r>
        <w:t xml:space="preserve">relative and the absolute scale. It is important to evaluate treatment effects</w:t>
      </w:r>
      <w:r>
        <w:t xml:space="preserve"> </w:t>
      </w:r>
      <w:r>
        <w:t xml:space="preserve">in both scales, as effect cannot remain constant on both the relative and the</w:t>
      </w:r>
      <w:r>
        <w:t xml:space="preserve"> </w:t>
      </w:r>
      <w:r>
        <w:t xml:space="preserve">absolute scale at the same time, assuming a non-zero treatment</w:t>
      </w:r>
      <w:r>
        <w:t xml:space="preserve"> </w:t>
      </w:r>
      <w:r>
        <w:t xml:space="preserve">effect—treatment. Any appropriate method for the evaluation of relative and</w:t>
      </w:r>
      <w:r>
        <w:t xml:space="preserve"> </w:t>
      </w:r>
      <w:r>
        <w:t xml:space="preserve">absolute treatment effects can be considered, as long as the this is done</w:t>
      </w:r>
      <w:r>
        <w:t xml:space="preserve"> </w:t>
      </w:r>
      <w:r>
        <w:t xml:space="preserve">consistently in all risk strata.</w:t>
      </w:r>
    </w:p>
    <w:p>
      <w:pPr>
        <w:pStyle w:val="Heading2"/>
      </w:pPr>
      <w:bookmarkStart w:id="27" w:name="X27fd54aa5334e1e877819cb9f41899728639f0d"/>
      <w:r>
        <w:t xml:space="preserve">3.5	Step 5: Result presentation and evaluation</w:t>
      </w:r>
      <w:bookmarkEnd w:id="27"/>
    </w:p>
    <w:p>
      <w:pPr>
        <w:pStyle w:val="FirstParagraph"/>
      </w:pPr>
      <w:r>
        <w:t xml:space="preserve">Our framework provides standardized output for each step of the analysis. The</w:t>
      </w:r>
      <w:r>
        <w:t xml:space="preserve"> </w:t>
      </w:r>
      <w:r>
        <w:t xml:space="preserve">number of patients and person years by treatment arm along with the number of</w:t>
      </w:r>
      <w:r>
        <w:t xml:space="preserve"> </w:t>
      </w:r>
      <w:r>
        <w:t xml:space="preserve">outcomes. A performance overview of the derived prediction models, including</w:t>
      </w:r>
      <w:r>
        <w:t xml:space="preserve"> </w:t>
      </w:r>
      <w:r>
        <w:t xml:space="preserve">discrimination and calibration both in the propensity score matched subset, the</w:t>
      </w:r>
      <w:r>
        <w:t xml:space="preserve"> </w:t>
      </w:r>
      <w:r>
        <w:t xml:space="preserve">entire population and separately for treated and comparator patients. This is</w:t>
      </w:r>
      <w:r>
        <w:t xml:space="preserve"> </w:t>
      </w:r>
      <w:r>
        <w:t xml:space="preserve">rather relevant as the performance of the prediction models is directly related</w:t>
      </w:r>
      <w:r>
        <w:t xml:space="preserve"> </w:t>
      </w:r>
      <w:r>
        <w:t xml:space="preserve">to our ability to single out patient subgroups where treatment may be highly</w:t>
      </w:r>
      <w:r>
        <w:t xml:space="preserve"> </w:t>
      </w:r>
      <w:r>
        <w:t xml:space="preserve">beneficial or unsafe. Kent et al demonstrated that the event rate and the</w:t>
      </w:r>
      <w:r>
        <w:t xml:space="preserve"> </w:t>
      </w:r>
      <w:r>
        <w:t xml:space="preserve">discriminative ability of the prediction model can predict very well the</w:t>
      </w:r>
      <w:r>
        <w:t xml:space="preserve"> </w:t>
      </w:r>
      <w:r>
        <w:t xml:space="preserve">distribution of predicted risk. The lower the event rate and the higher the</w:t>
      </w:r>
      <w:r>
        <w:t xml:space="preserve"> </w:t>
      </w:r>
      <w:r>
        <w:t xml:space="preserve">c-statistic (given good calibration) result in high risk heterogeneity, thus</w:t>
      </w:r>
      <w:r>
        <w:t xml:space="preserve"> </w:t>
      </w:r>
      <w:r>
        <w:t xml:space="preserve">making estimated average treatment effects uninformative. In this case, risk</w:t>
      </w:r>
      <w:r>
        <w:t xml:space="preserve"> </w:t>
      </w:r>
      <w:r>
        <w:t xml:space="preserve">stratified analysis of HTE can be more</w:t>
      </w:r>
      <w:r>
        <w:t xml:space="preserve"> </w:t>
      </w:r>
      <w:r>
        <w:t xml:space="preserve">effective in singling out patient subgroups that stand to benefit (or be harmed)</w:t>
      </w:r>
      <w:r>
        <w:t xml:space="preserve"> </w:t>
      </w:r>
      <w:r>
        <w:t xml:space="preserve">most by treatment in question.</w:t>
      </w:r>
    </w:p>
    <w:p>
      <w:pPr>
        <w:pStyle w:val="BodyText"/>
      </w:pPr>
      <w:r>
        <w:t xml:space="preserve">Propensity score distributions by treatment group and covariate balance plots</w:t>
      </w:r>
      <w:r>
        <w:t xml:space="preserve"> </w:t>
      </w:r>
      <w:r>
        <w:t xml:space="preserve">for each risk stratum. Event rates, hazard ratios and absolute risk differences</w:t>
      </w:r>
      <w:r>
        <w:t xml:space="preserve"> </w:t>
      </w:r>
      <w:r>
        <w:t xml:space="preserve">in risk strata for a selected outcome, both in tables and in graphs. Hazard</w:t>
      </w:r>
      <w:r>
        <w:t xml:space="preserve"> </w:t>
      </w:r>
      <w:r>
        <w:t xml:space="preserve">ratios and absolute risk differences for all analyzed outcomes by risk stratum.</w:t>
      </w:r>
      <w:r>
        <w:t xml:space="preserve"> </w:t>
      </w:r>
      <w:r>
        <w:t xml:space="preserve">Finally, shiny application can be generated to enable easy sharing of the</w:t>
      </w:r>
      <w:r>
        <w:t xml:space="preserve"> </w:t>
      </w:r>
      <w:r>
        <w:t xml:space="preserve">results.</w:t>
      </w:r>
    </w:p>
    <w:p>
      <w:pPr>
        <w:pStyle w:val="Heading1"/>
      </w:pPr>
      <w:bookmarkStart w:id="28" w:name="results"/>
      <w:r>
        <w:t xml:space="preserve">4	Results</w:t>
      </w:r>
      <w:bookmarkEnd w:id="28"/>
    </w:p>
    <w:p>
      <w:pPr>
        <w:pStyle w:val="FirstParagraph"/>
      </w:pPr>
      <w:r>
        <w:t xml:space="preserve">As a proof of concept, we focus on the comparison of angiotensin converting</w:t>
      </w:r>
      <w:r>
        <w:t xml:space="preserve"> </w:t>
      </w:r>
      <w:r>
        <w:t xml:space="preserve">enzyme (ACE) inhibitors to beta blockers. ACE inhibitors are among the most</w:t>
      </w:r>
      <w:r>
        <w:t xml:space="preserve"> </w:t>
      </w:r>
      <w:r>
        <w:t xml:space="preserve">common treatment classes for hypertension, with a well-established</w:t>
      </w:r>
      <w:r>
        <w:t xml:space="preserve"> </w:t>
      </w:r>
      <w:r>
        <w:t xml:space="preserve">effectiveness. Beta blockers, even though initially widely used for the</w:t>
      </w:r>
      <w:r>
        <w:t xml:space="preserve"> </w:t>
      </w:r>
      <w:r>
        <w:t xml:space="preserve">treatment of hypertension, more recent trials and meta-analyses have cast doubt</w:t>
      </w:r>
      <w:r>
        <w:t xml:space="preserve"> </w:t>
      </w:r>
      <w:r>
        <w:t xml:space="preserve">on their relative effectiveness. As a result, newer US guidelines do not</w:t>
      </w:r>
      <w:r>
        <w:t xml:space="preserve"> </w:t>
      </w:r>
      <w:r>
        <w:t xml:space="preserve">consider them for initial treatment for hypertension while in the EU guidelines</w:t>
      </w:r>
      <w:r>
        <w:t xml:space="preserve"> </w:t>
      </w:r>
      <w:r>
        <w:t xml:space="preserve">combination with other antihypertensive treatments is recommended. However,</w:t>
      </w:r>
      <w:r>
        <w:t xml:space="preserve"> </w:t>
      </w:r>
      <w:r>
        <w:t xml:space="preserve">another meta-analysis suggested that the efficacy profile of beta blockers is</w:t>
      </w:r>
      <w:r>
        <w:t xml:space="preserve"> </w:t>
      </w:r>
      <w:r>
        <w:t xml:space="preserve">similar to other major treatment classes in younger hypertensive patients and,</w:t>
      </w:r>
      <w:r>
        <w:t xml:space="preserve"> </w:t>
      </w:r>
      <w:r>
        <w:t xml:space="preserve">thus, countries like Canada still include them as a first-line candidate for the</w:t>
      </w:r>
      <w:r>
        <w:t xml:space="preserve"> </w:t>
      </w:r>
      <w:r>
        <w:t xml:space="preserve">treatment.</w:t>
      </w:r>
    </w:p>
    <w:p>
      <w:pPr>
        <w:pStyle w:val="Heading2"/>
      </w:pPr>
      <w:bookmarkStart w:id="29" w:name="X9a13c38e6a8499ec40a4a5828fbd07963eef224"/>
      <w:r>
        <w:t xml:space="preserve">4.1	Step 1: General definition of the problem</w:t>
      </w:r>
      <w:bookmarkEnd w:id="29"/>
    </w:p>
    <w:p>
      <w:pPr>
        <w:pStyle w:val="FirstParagraph"/>
      </w:pPr>
      <w:r>
        <w:t xml:space="preserve">We demonstrate the framework with the following research aim:</w:t>
      </w:r>
      <w:r>
        <w:t xml:space="preserve"> </w:t>
      </w:r>
      <w:r>
        <w:t xml:space="preserve">“</w:t>
      </w:r>
      <w:r>
        <w:t xml:space="preserve">to compare the</w:t>
      </w:r>
      <w:r>
        <w:t xml:space="preserve"> </w:t>
      </w:r>
      <w:r>
        <w:t xml:space="preserve">effect of ACE-inhibitors (</w:t>
      </w:r>
      <m:oMath>
        <m:r>
          <m:t>T</m:t>
        </m:r>
      </m:oMath>
      <w:r>
        <w:t xml:space="preserve">) to the effect of beta blockers (</w:t>
      </w:r>
      <m:oMath>
        <m:r>
          <m:t>C</m:t>
        </m:r>
      </m:oMath>
      <w:r>
        <w:t xml:space="preserve">) in patients</w:t>
      </w:r>
      <w:r>
        <w:t xml:space="preserve"> </w:t>
      </w:r>
      <w:r>
        <w:t xml:space="preserve">with established hypertension (</w:t>
      </w:r>
      <m:oMath>
        <m:r>
          <m:t>D</m:t>
        </m:r>
      </m:oMath>
      <w:r>
        <w:t xml:space="preserve">) with respect to 9 outcomes</w:t>
      </w:r>
      <w:r>
        <w:t xml:space="preserve"> </w:t>
      </w:r>
      <w:r>
        <w:t xml:space="preserve">(</w:t>
      </w:r>
      <m:oMath>
        <m:sSub>
          <m:e>
            <m:r>
              <m:t>O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O</m:t>
            </m:r>
          </m:e>
          <m:sub>
            <m:r>
              <m:t>9</m:t>
            </m:r>
          </m:sub>
        </m:sSub>
      </m:oMath>
      <w:r>
        <w:t xml:space="preserve">)</w:t>
      </w:r>
      <w:r>
        <w:t xml:space="preserve">”</w:t>
      </w:r>
      <w:r>
        <w:t xml:space="preserve">. The cohorts are:</w:t>
      </w:r>
    </w:p>
    <w:p>
      <w:pPr>
        <w:numPr>
          <w:ilvl w:val="0"/>
          <w:numId w:val="1002"/>
        </w:numPr>
        <w:pStyle w:val="Compact"/>
      </w:pPr>
      <w:r>
        <w:t xml:space="preserve">Treatment cohort: Patients receiving any drug within the ACE-inhibitor class</w:t>
      </w:r>
      <w:r>
        <w:t xml:space="preserve"> </w:t>
      </w:r>
      <w:r>
        <w:t xml:space="preserve">with at least one year of follow-up before treatment start and a recorded</w:t>
      </w:r>
      <w:r>
        <w:t xml:space="preserve"> </w:t>
      </w:r>
      <w:r>
        <w:t xml:space="preserve">hypertension diagnosis within that year.</w:t>
      </w:r>
    </w:p>
    <w:p>
      <w:pPr>
        <w:numPr>
          <w:ilvl w:val="0"/>
          <w:numId w:val="1002"/>
        </w:numPr>
        <w:pStyle w:val="Compact"/>
      </w:pPr>
      <w:r>
        <w:t xml:space="preserve">Comparator cohort: Patients</w:t>
      </w:r>
      <w:r>
        <w:t xml:space="preserve"> </w:t>
      </w:r>
      <w:r>
        <w:t xml:space="preserve">receiving any drug within the beta blocker class with at least one year of</w:t>
      </w:r>
      <w:r>
        <w:t xml:space="preserve"> </w:t>
      </w:r>
      <w:r>
        <w:t xml:space="preserve">follow-up before treatment start and a recorded hypertension diagnosis within</w:t>
      </w:r>
      <w:r>
        <w:t xml:space="preserve"> </w:t>
      </w:r>
      <w:r>
        <w:t xml:space="preserve">that year.</w:t>
      </w:r>
    </w:p>
    <w:p>
      <w:pPr>
        <w:numPr>
          <w:ilvl w:val="0"/>
          <w:numId w:val="1002"/>
        </w:numPr>
        <w:pStyle w:val="Compact"/>
      </w:pPr>
      <w:r>
        <w:t xml:space="preserve">Outcome cohorts: We consider 3 main and 6 safety outcome cohorts.</w:t>
      </w:r>
      <w:r>
        <w:t xml:space="preserve"> </w:t>
      </w:r>
      <w:r>
        <w:t xml:space="preserve">These are patients in the database with a diagnosis of: acute myocardial</w:t>
      </w:r>
      <w:r>
        <w:t xml:space="preserve"> </w:t>
      </w:r>
      <w:r>
        <w:t xml:space="preserve">infarction (MI); hospitalization with heart failure; ischemic or hemorrhagic</w:t>
      </w:r>
      <w:r>
        <w:t xml:space="preserve"> </w:t>
      </w:r>
      <w:r>
        <w:t xml:space="preserve">stroke (efficacy outcomes); hypokalemia; hyperkalemia; hypotension;</w:t>
      </w:r>
      <w:r>
        <w:t xml:space="preserve"> </w:t>
      </w:r>
      <w:r>
        <w:t xml:space="preserve">angioedema; cough; abnormal weight gain (safety outcomes).</w:t>
      </w:r>
    </w:p>
    <w:p>
      <w:pPr>
        <w:pStyle w:val="FirstParagraph"/>
      </w:pPr>
      <w:r>
        <w:t xml:space="preserve">All cohort definitions can be found in the supplementary material.</w:t>
      </w:r>
    </w:p>
    <w:p>
      <w:pPr>
        <w:pStyle w:val="Heading2"/>
      </w:pPr>
      <w:bookmarkStart w:id="30" w:name="step-2-identification-of-the-databases"/>
      <w:r>
        <w:t xml:space="preserve">4.2	Step 2: Identification of the databases</w:t>
      </w:r>
      <w:bookmarkEnd w:id="30"/>
    </w:p>
    <w:p>
      <w:pPr>
        <w:pStyle w:val="FirstParagraph"/>
      </w:pPr>
      <w:r>
        <w:t xml:space="preserve">We used the following databases:</w:t>
      </w:r>
    </w:p>
    <w:p>
      <w:pPr>
        <w:numPr>
          <w:ilvl w:val="0"/>
          <w:numId w:val="1003"/>
        </w:numPr>
        <w:pStyle w:val="Compact"/>
      </w:pPr>
      <w:r>
        <w:t xml:space="preserve">IBM MarketScan Medicare Supplemental Beneficiaries (MDCR): Represents health</w:t>
      </w:r>
      <w:r>
        <w:t xml:space="preserve"> </w:t>
      </w:r>
      <w:r>
        <w:t xml:space="preserve">services of retirees (aged 65 or older) in the United States with primary or</w:t>
      </w:r>
      <w:r>
        <w:t xml:space="preserve"> </w:t>
      </w:r>
      <w:r>
        <w:t xml:space="preserve">Medicare supplemental coverage through privately insured fee-for-service,</w:t>
      </w:r>
      <w:r>
        <w:t xml:space="preserve"> </w:t>
      </w:r>
      <w:r>
        <w:t xml:space="preserve">point-of-service or capitated health plans. These data include adjudicated</w:t>
      </w:r>
      <w:r>
        <w:t xml:space="preserve"> </w:t>
      </w:r>
      <w:r>
        <w:t xml:space="preserve">health insurance claims (e.g. inpatient, outpatient and outpatient pharmacy).</w:t>
      </w:r>
      <w:r>
        <w:t xml:space="preserve"> </w:t>
      </w:r>
      <w:r>
        <w:t xml:space="preserve">Additionally, it captures laboratory tests for a subset of the covered lives.</w:t>
      </w:r>
    </w:p>
    <w:p>
      <w:pPr>
        <w:numPr>
          <w:ilvl w:val="0"/>
          <w:numId w:val="1003"/>
        </w:numPr>
        <w:pStyle w:val="Compact"/>
      </w:pPr>
      <w:r>
        <w:t xml:space="preserve">IBM MarketScan Medicaid (MDCD): Adjudicated US health insurance claims for</w:t>
      </w:r>
      <w:r>
        <w:t xml:space="preserve"> </w:t>
      </w:r>
      <w:r>
        <w:t xml:space="preserve">Medicaid enrollees from multiple states. It includes hospital discharge</w:t>
      </w:r>
      <w:r>
        <w:t xml:space="preserve"> </w:t>
      </w:r>
      <w:r>
        <w:t xml:space="preserve">diagnoses, outpatient diagnoses and procedures and outpatient pharmacy claims</w:t>
      </w:r>
      <w:r>
        <w:t xml:space="preserve"> </w:t>
      </w:r>
      <w:r>
        <w:t xml:space="preserve">as well as ethnicity and Medicare eligibility. IBM MarketScan Commercial</w:t>
      </w:r>
    </w:p>
    <w:p>
      <w:pPr>
        <w:numPr>
          <w:ilvl w:val="0"/>
          <w:numId w:val="1003"/>
        </w:numPr>
        <w:pStyle w:val="Compact"/>
      </w:pPr>
      <w:r>
        <w:t xml:space="preserve">Claims and Encounters (CCAE): Data from individuals enrolled in US</w:t>
      </w:r>
      <w:r>
        <w:t xml:space="preserve"> </w:t>
      </w:r>
      <w:r>
        <w:t xml:space="preserve">employer-sponsored insurance health plans. The data includes adjudicated</w:t>
      </w:r>
      <w:r>
        <w:t xml:space="preserve"> </w:t>
      </w:r>
      <w:r>
        <w:t xml:space="preserve">health insurance claims (e.g. inpatient, outpatient, and outpatient</w:t>
      </w:r>
      <w:r>
        <w:t xml:space="preserve"> </w:t>
      </w:r>
      <w:r>
        <w:t xml:space="preserve">pharmacy) as well as enrollment data from large employers and health plans who</w:t>
      </w:r>
      <w:r>
        <w:t xml:space="preserve"> </w:t>
      </w:r>
      <w:r>
        <w:t xml:space="preserve">provide private healthcare coverage to employees, their spouses and</w:t>
      </w:r>
      <w:r>
        <w:t xml:space="preserve"> </w:t>
      </w:r>
      <w:r>
        <w:t xml:space="preserve">dependents. Additionally, it captures laboratory tests for a subset of the</w:t>
      </w:r>
      <w:r>
        <w:t xml:space="preserve"> </w:t>
      </w:r>
      <w:r>
        <w:t xml:space="preserve">covered lives.</w:t>
      </w:r>
    </w:p>
    <w:p>
      <w:pPr>
        <w:pStyle w:val="Heading2"/>
      </w:pPr>
      <w:bookmarkStart w:id="31" w:name="step-3-prediction-1"/>
      <w:r>
        <w:t xml:space="preserve">4.3	Step 3: Prediction</w:t>
      </w:r>
      <w:bookmarkEnd w:id="31"/>
    </w:p>
    <w:p>
      <w:pPr>
        <w:pStyle w:val="FirstParagraph"/>
      </w:pPr>
      <w:r>
        <w:t xml:space="preserve">To obtain a target cohort for developing patient-level</w:t>
      </w:r>
      <w:r>
        <w:t xml:space="preserve"> </w:t>
      </w:r>
      <w:r>
        <w:t xml:space="preserve">predictions we first merged the ACE-inhibitors cohort with the beta blockers</w:t>
      </w:r>
      <w:r>
        <w:t xml:space="preserve"> </w:t>
      </w:r>
      <w:r>
        <w:t xml:space="preserve">cohort. We then matched patients in the ACE-inhibitor cohort to patients in the</w:t>
      </w:r>
      <w:r>
        <w:t xml:space="preserve"> </w:t>
      </w:r>
      <w:r>
        <w:t xml:space="preserve">beta blockers cohort on the propensity score. We focused on the efficacy</w:t>
      </w:r>
      <w:r>
        <w:t xml:space="preserve"> </w:t>
      </w:r>
      <w:r>
        <w:t xml:space="preserve">outcomes (acute MI, hospitalization with heart failure and hemorrhagic or</w:t>
      </w:r>
      <w:r>
        <w:t xml:space="preserve"> </w:t>
      </w:r>
      <w:r>
        <w:t xml:space="preserve">ischemic stroke) for risk stratification of the patient population. In each</w:t>
      </w:r>
      <w:r>
        <w:t xml:space="preserve"> </w:t>
      </w:r>
      <w:r>
        <w:t xml:space="preserve">database, for each main outcome, we developed a prediction model. We chose a</w:t>
      </w:r>
      <w:r>
        <w:t xml:space="preserve"> </w:t>
      </w:r>
      <w:r>
        <w:t xml:space="preserve">time horizon of 2 years after inclusion into the target cohort. We developed the</w:t>
      </w:r>
      <w:r>
        <w:t xml:space="preserve"> </w:t>
      </w:r>
      <w:r>
        <w:t xml:space="preserve">prediction models using LASSO logistic regression with 3-fold cross validation</w:t>
      </w:r>
      <w:r>
        <w:t xml:space="preserve"> </w:t>
      </w:r>
      <w:r>
        <w:t xml:space="preserve">for hyper-parameter selection.</w:t>
      </w:r>
    </w:p>
    <w:p>
      <w:pPr>
        <w:pStyle w:val="Heading2"/>
      </w:pPr>
      <w:bookmarkStart w:id="32" w:name="step-4-estimation-1"/>
      <w:r>
        <w:t xml:space="preserve">4.4	Step 4: Estimation</w:t>
      </w:r>
      <w:bookmarkEnd w:id="32"/>
    </w:p>
    <w:p>
      <w:pPr>
        <w:pStyle w:val="FirstParagraph"/>
      </w:pPr>
      <w:r>
        <w:t xml:space="preserve">We used patient-level predictions to stratify the patient population into 4</w:t>
      </w:r>
      <w:r>
        <w:t xml:space="preserve"> </w:t>
      </w:r>
      <w:r>
        <w:t xml:space="preserve">risk quarters. We estimated relative and absolute treatment effects for all 9</w:t>
      </w:r>
      <w:r>
        <w:t xml:space="preserve"> </w:t>
      </w:r>
      <w:r>
        <w:t xml:space="preserve">outcomes of interest. In order to estimate risk quarter-specific treatment</w:t>
      </w:r>
      <w:r>
        <w:t xml:space="preserve"> </w:t>
      </w:r>
      <w:r>
        <w:t xml:space="preserve">effects we first estimated propensity scores within risk quarters. We then used</w:t>
      </w:r>
      <w:r>
        <w:t xml:space="preserve"> </w:t>
      </w:r>
      <w:r>
        <w:t xml:space="preserve">the propensity scores to stratify patients into 5 strata.</w:t>
      </w:r>
    </w:p>
    <w:p>
      <w:pPr>
        <w:pStyle w:val="Heading2"/>
      </w:pPr>
      <w:bookmarkStart w:id="33" w:name="X6610edf120bf8fdf7010e841aa9dbe0ced291b7"/>
      <w:r>
        <w:t xml:space="preserve">4.5	Step 5: Result presentation and evaluation</w:t>
      </w:r>
      <w:bookmarkEnd w:id="33"/>
    </w:p>
    <w:p>
      <w:pPr>
        <w:pStyle w:val="FirstParagraph"/>
      </w:pPr>
      <w:r>
        <w:t xml:space="preserve">In the main manuscript we present the results of the analysis in the CCAE</w:t>
      </w:r>
      <w:r>
        <w:t xml:space="preserve"> </w:t>
      </w:r>
      <w:r>
        <w:t xml:space="preserve">database with stratification based on risk predictions of acute MI. Results of</w:t>
      </w:r>
      <w:r>
        <w:t xml:space="preserve"> </w:t>
      </w:r>
      <w:r>
        <w:t xml:space="preserve">analyses in the other databases and with other risk stratifications are</w:t>
      </w:r>
      <w:r>
        <w:t xml:space="preserve"> </w:t>
      </w:r>
      <w:r>
        <w:t xml:space="preserve">included in the supplementary material.</w:t>
      </w:r>
    </w:p>
    <w:p>
      <w:pPr>
        <w:pStyle w:val="BodyText"/>
      </w:pPr>
      <w:r>
        <w:t xml:space="preserve">For each outcome and in each risk stratum there were adequate numbers of</w:t>
      </w:r>
      <w:r>
        <w:t xml:space="preserve"> </w:t>
      </w:r>
      <w:r>
        <w:t xml:space="preserve">patients (Table XXXX). The discriminative ability of the prediction models was</w:t>
      </w:r>
      <w:r>
        <w:t xml:space="preserve"> </w:t>
      </w:r>
      <w:r>
        <w:t xml:space="preserve">moderate in the matched development subset (c-index 0.76 for acute MI ; 0.79 for</w:t>
      </w:r>
      <w:r>
        <w:t xml:space="preserve"> </w:t>
      </w:r>
      <w:r>
        <w:t xml:space="preserve">hospitalization with heart failure; 0.74 for stroke; ), in the general</w:t>
      </w:r>
      <w:r>
        <w:t xml:space="preserve"> </w:t>
      </w:r>
      <w:r>
        <w:t xml:space="preserve">population (c-index 0.74 for acute MI; 0.77 for hospitalization with heart</w:t>
      </w:r>
      <w:r>
        <w:t xml:space="preserve"> </w:t>
      </w:r>
      <w:r>
        <w:t xml:space="preserve">failure; 0.73 for stroke), in the treatment cohort (c-index for acute MI it was</w:t>
      </w:r>
      <w:r>
        <w:t xml:space="preserve"> </w:t>
      </w:r>
      <w:r>
        <w:t xml:space="preserve">0.71, for hospitalization with heart failure was 0.76 and for stroke it was</w:t>
      </w:r>
      <w:r>
        <w:t xml:space="preserve"> </w:t>
      </w:r>
      <w:r>
        <w:t xml:space="preserve">0.72) and in the comparator cohort (c-index for acute MI it was 0.79 for</w:t>
      </w:r>
      <w:r>
        <w:t xml:space="preserve"> </w:t>
      </w:r>
      <w:r>
        <w:t xml:space="preserve">hospitalization with heart failure was 0.79 and for stroke it was 0.75).</w:t>
      </w:r>
    </w:p>
    <w:p>
      <w:pPr>
        <w:pStyle w:val="BodyText"/>
      </w:pPr>
      <w:r>
        <w:t xml:space="preserve">Relative treatment effects of ACE-inhibitors vs beta blockers increased (hazard</w:t>
      </w:r>
      <w:r>
        <w:t xml:space="preserve"> </w:t>
      </w:r>
      <w:r>
        <w:t xml:space="preserve">ratios decreased) with increasing acute MI risk, resulting in more pronounced</w:t>
      </w:r>
      <w:r>
        <w:t xml:space="preserve"> </w:t>
      </w:r>
      <w:r>
        <w:t xml:space="preserve">increases of absolute treatment effects (ARD) with increasing acute MI risk</w:t>
      </w:r>
      <w:r>
        <w:t xml:space="preserve"> </w:t>
      </w:r>
      <w:r>
        <w:t xml:space="preserve">(Figure XXXX). Patients in the low risk quarter did not receive absolute</w:t>
      </w:r>
      <w:r>
        <w:t xml:space="preserve"> </w:t>
      </w:r>
      <w:r>
        <w:t xml:space="preserve">treatment benefit (ARD -0.03%) while absolute risk was 0.54% lower (95%</w:t>
      </w:r>
      <w:r>
        <w:t xml:space="preserve"> </w:t>
      </w:r>
      <w:r>
        <w:t xml:space="preserve">confidence interval 0.36%—0.71%) for patients in the high-risk quarter. In</w:t>
      </w:r>
      <w:r>
        <w:t xml:space="preserve"> </w:t>
      </w:r>
      <w:r>
        <w:t xml:space="preserve">contrast, the absolute and relative effects of ACE-inhibitors on safety outcomes</w:t>
      </w:r>
      <w:r>
        <w:t xml:space="preserve"> </w:t>
      </w:r>
      <w:r>
        <w:t xml:space="preserve">(e.g. cough and angioedema) are approximately constant or even slightly</w:t>
      </w:r>
      <w:r>
        <w:t xml:space="preserve"> </w:t>
      </w:r>
      <w:r>
        <w:t xml:space="preserve">decreasing with increasing acute MI risk (Figure XXXX and XXXX). Similar results</w:t>
      </w:r>
      <w:r>
        <w:t xml:space="preserve"> </w:t>
      </w:r>
      <w:r>
        <w:t xml:space="preserve">were observed in the other two databases (see supplementary material).</w:t>
      </w:r>
    </w:p>
    <w:p>
      <w:pPr>
        <w:pStyle w:val="BodyText"/>
      </w:pPr>
      <w:r>
        <w:t xml:space="preserve">This example nicely illustrates heterogeneity of absolute treatment effects,</w:t>
      </w:r>
      <w:r>
        <w:t xml:space="preserve"> </w:t>
      </w:r>
      <w:r>
        <w:t xml:space="preserve">i.e. differences in absolute benefits and harms of ACE-inhibitors vs beta</w:t>
      </w:r>
      <w:r>
        <w:t xml:space="preserve"> </w:t>
      </w:r>
      <w:r>
        <w:t xml:space="preserve">blockers for patients with different baseline risk. The results suggest that</w:t>
      </w:r>
      <w:r>
        <w:t xml:space="preserve"> </w:t>
      </w:r>
      <w:r>
        <w:t xml:space="preserve">treatment with ACE-inhibitors, compared to treatment with beta blockers, may be</w:t>
      </w:r>
      <w:r>
        <w:t xml:space="preserve"> </w:t>
      </w:r>
      <w:r>
        <w:t xml:space="preserve">focused on the higher risk patients, in whom the benefits outweigh the harms.</w:t>
      </w:r>
      <w:r>
        <w:t xml:space="preserve"> </w:t>
      </w:r>
      <w:r>
        <w:t xml:space="preserve">However, treatment with beta blockers may be a viable option in lower risk</w:t>
      </w:r>
      <w:r>
        <w:t xml:space="preserve"> </w:t>
      </w:r>
      <w:r>
        <w:t xml:space="preserve">patients, in whom the benefit-harm tradeoff is in favor of beta blockers. This</w:t>
      </w:r>
      <w:r>
        <w:t xml:space="preserve"> </w:t>
      </w:r>
      <w:r>
        <w:t xml:space="preserve">is in accordance with earlier findings that beta blockers should be considered</w:t>
      </w:r>
      <w:r>
        <w:t xml:space="preserve"> </w:t>
      </w:r>
      <w:r>
        <w:t xml:space="preserve">as first-line treatment for younger hypertensive patients. More thorough</w:t>
      </w:r>
      <w:r>
        <w:t xml:space="preserve"> </w:t>
      </w:r>
      <w:r>
        <w:t xml:space="preserve">evaluation of these results is required in future research.</w:t>
      </w:r>
    </w:p>
    <w:p>
      <w:pPr>
        <w:pStyle w:val="BodyText"/>
      </w:pPr>
      <w:r>
        <w:t xml:space="preserve">The results of the analyses performed can be accessed and assessed through a</w:t>
      </w:r>
      <w:r>
        <w:t xml:space="preserve"> </w:t>
      </w:r>
      <w:r>
        <w:t xml:space="preserve">publicly available web application (</w:t>
      </w:r>
      <w:hyperlink r:id="rId34">
        <w:r>
          <w:rPr>
            <w:rStyle w:val="Hyperlink"/>
          </w:rPr>
          <w:t xml:space="preserve">https://data.ohdsi.org/AceBeta9Outcomes</w:t>
        </w:r>
      </w:hyperlink>
      <w:r>
        <w:t xml:space="preserve">).</w:t>
      </w:r>
    </w:p>
    <w:p>
      <w:pPr>
        <w:pStyle w:val="Heading1"/>
      </w:pPr>
      <w:bookmarkStart w:id="35" w:name="discussion"/>
      <w:r>
        <w:t xml:space="preserve">5	Discussion</w:t>
      </w:r>
      <w:bookmarkEnd w:id="35"/>
    </w:p>
    <w:p>
      <w:pPr>
        <w:pStyle w:val="FirstParagraph"/>
      </w:pPr>
      <w:r>
        <w:t xml:space="preserve">We developed a framework for the assessment of heterogeneity of treatment effect</w:t>
      </w:r>
      <w:r>
        <w:t xml:space="preserve"> </w:t>
      </w:r>
      <w:r>
        <w:t xml:space="preserve">in large observational databases using a risk modeling approach. The framework</w:t>
      </w:r>
      <w:r>
        <w:t xml:space="preserve"> </w:t>
      </w:r>
      <w:r>
        <w:t xml:space="preserve">is implemented in an open source R-package in the OHDSI methods library</w:t>
      </w:r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https://github.com/OHDSI/RiskStratifiedEstimation</w:t>
        </w:r>
      </w:hyperlink>
      <w:r>
        <w:t xml:space="preserve">). As a proof-of-concept, we</w:t>
      </w:r>
      <w:r>
        <w:t xml:space="preserve"> </w:t>
      </w:r>
      <w:r>
        <w:t xml:space="preserve">used our framework to evaluate heterogeneity of the effect of treatment with</w:t>
      </w:r>
      <w:r>
        <w:t xml:space="preserve"> </w:t>
      </w:r>
      <w:r>
        <w:t xml:space="preserve">ACE-inhibitors compared to beta blockers on 3 efficacy and 6 safety outcomes.</w:t>
      </w:r>
    </w:p>
    <w:p>
      <w:pPr>
        <w:pStyle w:val="BodyText"/>
      </w:pPr>
      <w:r>
        <w:t xml:space="preserve">In recent years several methods for the evaluation of treatment effect</w:t>
      </w:r>
      <w:r>
        <w:t xml:space="preserve"> </w:t>
      </w:r>
      <w:r>
        <w:t xml:space="preserve">heterogeneity have been developed in the setting of RCTs. However, low power and</w:t>
      </w:r>
      <w:r>
        <w:t xml:space="preserve"> </w:t>
      </w:r>
      <w:r>
        <w:t xml:space="preserve">restricted prior knowledge on the mechanisms of variation in treatment effect</w:t>
      </w:r>
      <w:r>
        <w:t xml:space="preserve"> </w:t>
      </w:r>
      <w:r>
        <w:t xml:space="preserve">are often inherent in RCTs, which are often adequately powered only for the</w:t>
      </w:r>
      <w:r>
        <w:t xml:space="preserve"> </w:t>
      </w:r>
      <w:r>
        <w:t xml:space="preserve">analysis of the primary outcome. Observational databases contain a large amount</w:t>
      </w:r>
      <w:r>
        <w:t xml:space="preserve"> </w:t>
      </w:r>
      <w:r>
        <w:t xml:space="preserve">of information on treatment assignment and outcomes of interest, while also</w:t>
      </w:r>
      <w:r>
        <w:t xml:space="preserve"> </w:t>
      </w:r>
      <w:r>
        <w:t xml:space="preserve">capturing key patient characteristics. Our framework provides a standardized</w:t>
      </w:r>
      <w:r>
        <w:t xml:space="preserve"> </w:t>
      </w:r>
      <w:r>
        <w:t xml:space="preserve">approach that can be used to leverage available information from these data</w:t>
      </w:r>
      <w:r>
        <w:t xml:space="preserve"> </w:t>
      </w:r>
      <w:r>
        <w:t xml:space="preserve">sources, allowing for large-scale assessment of treatment effect heterogeneity.</w:t>
      </w:r>
      <w:r>
        <w:t xml:space="preserve"> </w:t>
      </w:r>
      <w:r>
        <w:t xml:space="preserve">Multiple outcomes can be evaluated in patient subgroups of similar baseline</w:t>
      </w:r>
      <w:r>
        <w:t xml:space="preserve"> </w:t>
      </w:r>
      <w:r>
        <w:t xml:space="preserve">outcome risk, where different outcome risk stratification schemes can be</w:t>
      </w:r>
      <w:r>
        <w:t xml:space="preserve"> </w:t>
      </w:r>
      <w:r>
        <w:t xml:space="preserve">considered. The standardized nature of the framework enables transportability to</w:t>
      </w:r>
      <w:r>
        <w:t xml:space="preserve"> </w:t>
      </w:r>
      <w:r>
        <w:t xml:space="preserve">multiple databases, provided that they are mapped to the OMOP-CDM.</w:t>
      </w:r>
    </w:p>
    <w:p>
      <w:pPr>
        <w:pStyle w:val="BodyText"/>
      </w:pPr>
      <w:r>
        <w:t xml:space="preserve">Recently, guidelines on the application of risk modeling approaches for the</w:t>
      </w:r>
      <w:r>
        <w:t xml:space="preserve"> </w:t>
      </w:r>
      <w:r>
        <w:t xml:space="preserve">assessment of heterogeneity of treatment effect in RCT settings have been</w:t>
      </w:r>
      <w:r>
        <w:t xml:space="preserve"> </w:t>
      </w:r>
      <w:r>
        <w:t xml:space="preserve">proposed. Our framework aims to translate these guidelines to the observational</w:t>
      </w:r>
      <w:r>
        <w:t xml:space="preserve"> </w:t>
      </w:r>
      <w:r>
        <w:t xml:space="preserve">setting while also providing a toolset for its implementation. Several</w:t>
      </w:r>
      <w:r>
        <w:t xml:space="preserve"> </w:t>
      </w:r>
      <w:r>
        <w:t xml:space="preserve">considerations need to be made. First, estimates may be biased due to the</w:t>
      </w:r>
      <w:r>
        <w:t xml:space="preserve"> </w:t>
      </w:r>
      <w:r>
        <w:t xml:space="preserve">observational nature of the data. We attempt to account for potential</w:t>
      </w:r>
      <w:r>
        <w:t xml:space="preserve"> </w:t>
      </w:r>
      <w:r>
        <w:t xml:space="preserve">confounding by estimating propensity scores within strata of predicted risk.</w:t>
      </w:r>
      <w:r>
        <w:t xml:space="preserve"> </w:t>
      </w:r>
      <w:r>
        <w:t xml:space="preserve">These scores are estimated using regularized logistic regression on a large set</w:t>
      </w:r>
      <w:r>
        <w:t xml:space="preserve"> </w:t>
      </w:r>
      <w:r>
        <w:t xml:space="preserve">of pre-defined covariates. This specific approach gave accurate results in</w:t>
      </w:r>
      <w:r>
        <w:t xml:space="preserve"> </w:t>
      </w:r>
      <w:r>
        <w:t xml:space="preserve">extensive simulation studies. However, such approaches do not account for</w:t>
      </w:r>
      <w:r>
        <w:t xml:space="preserve"> </w:t>
      </w:r>
      <w:r>
        <w:t xml:space="preserve">unobserved confounding. Several sensitivity analyses have been proposed in the</w:t>
      </w:r>
      <w:r>
        <w:t xml:space="preserve"> </w:t>
      </w:r>
      <w:r>
        <w:t xml:space="preserve">literature for measuring the robustness of results in the presence of unobserved</w:t>
      </w:r>
      <w:r>
        <w:t xml:space="preserve"> </w:t>
      </w:r>
      <w:r>
        <w:t xml:space="preserve">confounding. Another approach is to calibrate estimates and confidence intervals</w:t>
      </w:r>
      <w:r>
        <w:t xml:space="preserve"> </w:t>
      </w:r>
      <w:r>
        <w:t xml:space="preserve">based on a large set of negative controls. Negative controls are</w:t>
      </w:r>
      <w:r>
        <w:t xml:space="preserve"> </w:t>
      </w:r>
      <w:r>
        <w:t xml:space="preserve">treatment-outcome pairs for which a null effect has been established. Estimating</w:t>
      </w:r>
      <w:r>
        <w:t xml:space="preserve"> </w:t>
      </w:r>
      <w:r>
        <w:t xml:space="preserve">these effects within available data provides an approximation of the null</w:t>
      </w:r>
      <w:r>
        <w:t xml:space="preserve"> </w:t>
      </w:r>
      <w:r>
        <w:t xml:space="preserve">distribution that can be used to empirically recalibrate effect estimates.</w:t>
      </w:r>
      <w:r>
        <w:t xml:space="preserve"> </w:t>
      </w:r>
      <w:r>
        <w:t xml:space="preserve">Future work may extend our framework with this type of analyses.</w:t>
      </w:r>
    </w:p>
    <w:p>
      <w:pPr>
        <w:pStyle w:val="BodyText"/>
      </w:pPr>
      <w:r>
        <w:t xml:space="preserve">Our method provides a risk-stratified assessment of treatment effect</w:t>
      </w:r>
      <w:r>
        <w:t xml:space="preserve"> </w:t>
      </w:r>
      <w:r>
        <w:t xml:space="preserve">heterogeneity. However, even though stratification can provide a rough guide for</w:t>
      </w:r>
      <w:r>
        <w:t xml:space="preserve"> </w:t>
      </w:r>
      <w:r>
        <w:t xml:space="preserve">clinical interpretation, it is not appropriate to guide clinical practice, where</w:t>
      </w:r>
      <w:r>
        <w:t xml:space="preserve"> </w:t>
      </w:r>
      <w:r>
        <w:t xml:space="preserve">decisions need to be made at the individual level. Presentation of treatment</w:t>
      </w:r>
      <w:r>
        <w:t xml:space="preserve"> </w:t>
      </w:r>
      <w:r>
        <w:t xml:space="preserve">effects as a continuous function of risk would be more helpful, but is</w:t>
      </w:r>
      <w:r>
        <w:t xml:space="preserve"> </w:t>
      </w:r>
      <w:r>
        <w:t xml:space="preserve">methodologically challenging. Future research is necessary for the development</w:t>
      </w:r>
      <w:r>
        <w:t xml:space="preserve"> </w:t>
      </w:r>
      <w:r>
        <w:t xml:space="preserve">of methods for continuous risk-based assessment of HTE.</w:t>
      </w:r>
    </w:p>
    <w:p>
      <w:pPr>
        <w:pStyle w:val="BodyText"/>
      </w:pPr>
      <w:r>
        <w:t xml:space="preserve">Externally derived prediction models are preferred for analyzing treatment</w:t>
      </w:r>
      <w:r>
        <w:t xml:space="preserve"> </w:t>
      </w:r>
      <w:r>
        <w:t xml:space="preserve">effect heterogeneity. Such external models should be well transportable. In the</w:t>
      </w:r>
      <w:r>
        <w:t xml:space="preserve"> </w:t>
      </w:r>
      <w:r>
        <w:t xml:space="preserve">absence of such prediction models, simulations of RCTs have shown that</w:t>
      </w:r>
      <w:r>
        <w:t xml:space="preserve"> </w:t>
      </w:r>
      <w:r>
        <w:t xml:space="preserve">internally derived models can be used to provide unbiased estimates of treatment</w:t>
      </w:r>
      <w:r>
        <w:t xml:space="preserve"> </w:t>
      </w:r>
      <w:r>
        <w:t xml:space="preserve">effect across the spectrum of baseline risk. However, in observational databases</w:t>
      </w:r>
      <w:r>
        <w:t xml:space="preserve"> </w:t>
      </w:r>
      <w:r>
        <w:t xml:space="preserve">treatment arms may significantly differ in sample size. Because the prediction</w:t>
      </w:r>
      <w:r>
        <w:t xml:space="preserve"> </w:t>
      </w:r>
      <w:r>
        <w:t xml:space="preserve">model will possibly better fit to the larger treatment arm, this may introduce</w:t>
      </w:r>
      <w:r>
        <w:t xml:space="preserve"> </w:t>
      </w:r>
      <w:r>
        <w:t xml:space="preserve">spurious treatment-covariate interactions in the prediction model, leading to</w:t>
      </w:r>
      <w:r>
        <w:t xml:space="preserve"> </w:t>
      </w:r>
      <w:r>
        <w:t xml:space="preserve">sub-optimal risk stratification. As a remedy, we first match the patients in the</w:t>
      </w:r>
      <w:r>
        <w:t xml:space="preserve"> </w:t>
      </w:r>
      <w:r>
        <w:t xml:space="preserve">treatment and the comparator cohorts on the basis of propensity scores.</w:t>
      </w:r>
      <w:r>
        <w:t xml:space="preserve"> </w:t>
      </w:r>
      <w:r>
        <w:t xml:space="preserve">Additionally, we propose to assess model performance in the separate treatment</w:t>
      </w:r>
      <w:r>
        <w:t xml:space="preserve"> </w:t>
      </w:r>
      <w:r>
        <w:t xml:space="preserve">arms to evaluate its aptness for risk stratification.</w:t>
      </w:r>
    </w:p>
    <w:p>
      <w:pPr>
        <w:pStyle w:val="BodyText"/>
      </w:pPr>
      <w:r>
        <w:t xml:space="preserve">Our contribution is a translation of the PATH statement principles to the OHDSI</w:t>
      </w:r>
      <w:r>
        <w:t xml:space="preserve"> </w:t>
      </w:r>
      <w:r>
        <w:t xml:space="preserve">methods library. Our methods encourage open science as it requires clear</w:t>
      </w:r>
      <w:r>
        <w:t xml:space="preserve"> </w:t>
      </w:r>
      <w:r>
        <w:t xml:space="preserve">definition of the research questions translated into clear and reproducible</w:t>
      </w:r>
      <w:r>
        <w:t xml:space="preserve"> </w:t>
      </w:r>
      <w:r>
        <w:t xml:space="preserve">cohort definitions that can easily be shared among researchers. Our R-package</w:t>
      </w:r>
      <w:r>
        <w:t xml:space="preserve"> </w:t>
      </w:r>
      <w:r>
        <w:t xml:space="preserve">provides a standardized stepwise procedure for the assessment of HTE. This</w:t>
      </w:r>
      <w:r>
        <w:t xml:space="preserve"> </w:t>
      </w:r>
      <w:r>
        <w:t xml:space="preserve">enables source code to be easily shared and evaluated. The results of these</w:t>
      </w:r>
      <w:r>
        <w:t xml:space="preserve"> </w:t>
      </w:r>
      <w:r>
        <w:t xml:space="preserve">analyses can be reproduced in a straightforward manner. Researchers with access</w:t>
      </w:r>
      <w:r>
        <w:t xml:space="preserve"> </w:t>
      </w:r>
      <w:r>
        <w:t xml:space="preserve">to different databases mapped to OMOP-CDM can also very easily extend their</w:t>
      </w:r>
      <w:r>
        <w:t xml:space="preserve"> </w:t>
      </w:r>
      <w:r>
        <w:t xml:space="preserve">overall analyses with risk-based assessment of treatment effect heterogeneity.</w:t>
      </w:r>
      <w:r>
        <w:t xml:space="preserve"> </w:t>
      </w:r>
      <w:r>
        <w:t xml:space="preserve">This enables collaboration among multiple sites with access to different patient</w:t>
      </w:r>
      <w:r>
        <w:t xml:space="preserve"> </w:t>
      </w:r>
      <w:r>
        <w:t xml:space="preserve">populations. We propose that the framework is implemented any time treatment</w:t>
      </w:r>
      <w:r>
        <w:t xml:space="preserve"> </w:t>
      </w:r>
      <w:r>
        <w:t xml:space="preserve">effect estimation in high-dimensional observational data is undertaken.</w:t>
      </w:r>
    </w:p>
    <w:p>
      <w:pPr>
        <w:pStyle w:val="BodyText"/>
      </w:pPr>
      <w:r>
        <w:t xml:space="preserve">Recently, disease risk scores have been explored as an alternative to propensity</w:t>
      </w:r>
      <w:r>
        <w:t xml:space="preserve"> </w:t>
      </w:r>
      <w:r>
        <w:t xml:space="preserve">scores for balancing covariates. In our method, the objective of risk</w:t>
      </w:r>
      <w:r>
        <w:t xml:space="preserve"> </w:t>
      </w:r>
      <w:r>
        <w:t xml:space="preserve">stratification is not balancing, but assessing the variation of treatment</w:t>
      </w:r>
      <w:r>
        <w:t xml:space="preserve"> </w:t>
      </w:r>
      <w:r>
        <w:t xml:space="preserve">effects on multiple outcomes across patients with different levels of baseline</w:t>
      </w:r>
      <w:r>
        <w:t xml:space="preserve"> </w:t>
      </w:r>
      <w:r>
        <w:t xml:space="preserve">risk. Although using the same risk model for balancing and risk-based HTE</w:t>
      </w:r>
      <w:r>
        <w:t xml:space="preserve"> </w:t>
      </w:r>
      <w:r>
        <w:t xml:space="preserve">analysis may sound attractive, we note that our method only uses one risk model</w:t>
      </w:r>
      <w:r>
        <w:t xml:space="preserve"> </w:t>
      </w:r>
      <w:r>
        <w:t xml:space="preserve">for stratification and one propensity score model for balancing, while separate</w:t>
      </w:r>
      <w:r>
        <w:t xml:space="preserve"> </w:t>
      </w:r>
      <w:r>
        <w:t xml:space="preserve">disease risk score models would be required to analyze treatment effects for</w:t>
      </w:r>
      <w:r>
        <w:t xml:space="preserve"> </w:t>
      </w:r>
      <w:r>
        <w:t xml:space="preserve">each of the multiple outcomes.</w:t>
      </w:r>
    </w:p>
    <w:p>
      <w:pPr>
        <w:pStyle w:val="BodyText"/>
      </w:pPr>
      <w:r>
        <w:t xml:space="preserve">In conclusion, the proof-of-concept study demonstrates the feasibility of our</w:t>
      </w:r>
      <w:r>
        <w:t xml:space="preserve"> </w:t>
      </w:r>
      <w:r>
        <w:t xml:space="preserve">framework for risk-based assessment of treatment effect heterogeneity in large</w:t>
      </w:r>
      <w:r>
        <w:t xml:space="preserve"> </w:t>
      </w:r>
      <w:r>
        <w:t xml:space="preserve">observational data. The standardized framework is easily applicable and highly</w:t>
      </w:r>
      <w:r>
        <w:t xml:space="preserve"> </w:t>
      </w:r>
      <w:r>
        <w:t xml:space="preserve">informative whenever treatment effect estimation in high-dimensional</w:t>
      </w:r>
      <w:r>
        <w:t xml:space="preserve"> </w:t>
      </w:r>
      <w:r>
        <w:t xml:space="preserve">observational data is of interest. Our framework is a supplement to the</w:t>
      </w:r>
      <w:r>
        <w:t xml:space="preserve"> </w:t>
      </w:r>
      <w:r>
        <w:t xml:space="preserve">population-level effect estimation framework developed within OHDSI and, in the</w:t>
      </w:r>
      <w:r>
        <w:t xml:space="preserve"> </w:t>
      </w:r>
      <w:r>
        <w:t xml:space="preserve">presence of an adequately discriminating prediction model, can be used to make</w:t>
      </w:r>
      <w:r>
        <w:t xml:space="preserve"> </w:t>
      </w:r>
      <w:r>
        <w:t xml:space="preserve">the overall results more actionable for medical decision making.</w:t>
      </w:r>
    </w:p>
    <w:sectPr w:rsidR="00A74A7E" w:rsidRPr="009935A6" w:rsidSect="00637B2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hyperlink" Id="rId34" Target="https://data.ohdsi.org/AceBeta9Outcomes" TargetMode="External" /><Relationship Type="http://schemas.openxmlformats.org/officeDocument/2006/relationships/hyperlink" Id="rId36" Target="https://github.com/OHDSI/RiskStratifiedEstim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ata.ohdsi.org/AceBeta9Outcomes" TargetMode="External" /><Relationship Type="http://schemas.openxmlformats.org/officeDocument/2006/relationships/hyperlink" Id="rId36" Target="https://github.com/OHDSI/RiskStratifiedEstim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standardized framework for risk-based assessment of treatment effect heterogeneity in observational healthcare databases</dc:title>
  <dc:creator/>
  <cp:keywords/>
  <dcterms:created xsi:type="dcterms:W3CDTF">2021-03-18T16:53:20Z</dcterms:created>
  <dcterms:modified xsi:type="dcterms:W3CDTF">2021-03-18T16:53:20Z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jamia.csl</vt:lpwstr>
  </property>
  <property fmtid="{D5CDD505-2E9C-101B-9397-08002B2CF9AE}" pid="3" name="editor_options">
    <vt:lpwstr/>
  </property>
  <property fmtid="{D5CDD505-2E9C-101B-9397-08002B2CF9AE}" pid="4" name="font-size">
    <vt:lpwstr>11pt</vt:lpwstr>
  </property>
  <property fmtid="{D5CDD505-2E9C-101B-9397-08002B2CF9AE}" pid="5" name="geometry">
    <vt:lpwstr>margin=1.0in</vt:lpwstr>
  </property>
  <property fmtid="{D5CDD505-2E9C-101B-9397-08002B2CF9AE}" pid="6" name="header-includes">
    <vt:lpwstr/>
  </property>
  <property fmtid="{D5CDD505-2E9C-101B-9397-08002B2CF9AE}" pid="7" name="output">
    <vt:lpwstr/>
  </property>
  <property fmtid="{D5CDD505-2E9C-101B-9397-08002B2CF9AE}" pid="8" name="toc">
    <vt:lpwstr>False</vt:lpwstr>
  </property>
</Properties>
</file>