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[5,6]</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 The</w:t>
      </w:r>
      <w:r>
        <w:t xml:space="preserve"> </w:t>
      </w:r>
      <w:r>
        <w:t xml:space="preserve">common data structure enables analyses at a very large scale. We aimed to</w:t>
      </w:r>
      <w:r>
        <w:t xml:space="preserve"> </w:t>
      </w:r>
      <w:r>
        <w:t xml:space="preserve">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 We implemented the framework using existing OHDSI methods for</w:t>
      </w:r>
      <w:r>
        <w:t xml:space="preserve"> </w:t>
      </w:r>
      <w:r>
        <w:t xml:space="preserve">use in the OMOP-CDM, including the patient-level prediction framework and the</w:t>
      </w:r>
      <w:r>
        <w:t xml:space="preserve"> </w:t>
      </w:r>
      <w:r>
        <w:t xml:space="preserve">population-level effect estimation framework based on new-user cohort design</w:t>
      </w:r>
      <w:r>
        <w:t xml:space="preserve"> </w:t>
      </w:r>
      <w:r>
        <w:t xml:space="preserve">[11,12]</w:t>
      </w:r>
      <w:r>
        <w:t xml:space="preserve">. As a proof-of-concept we analyzed heterogeneity of the</w:t>
      </w:r>
      <w:r>
        <w:t xml:space="preserve"> </w:t>
      </w:r>
      <w:r>
        <w:t xml:space="preserve">effects of first-line hypertension treatment: we compared the effect of</w:t>
      </w:r>
      <w:r>
        <w:t xml:space="preserve"> </w:t>
      </w:r>
      <w:r>
        <w:t xml:space="preserve">angiotensin converting enzyme (ACE) inhibitors to beta blockers on 9 outcomes</w:t>
      </w:r>
      <w:r>
        <w:t xml:space="preserve"> </w:t>
      </w:r>
      <w:r>
        <w:t xml:space="preserve">across three different US claims 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An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[13,14]</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[15,16]</w:t>
      </w:r>
      <w:r>
        <w:t xml:space="preserve">, we develop the patient-level</w:t>
      </w:r>
      <w:r>
        <w:t xml:space="preserve"> </w:t>
      </w:r>
      <w:r>
        <w:t xml:space="preserve">prediction model in the propensity score-matched (1:1) subset of the population.</w:t>
      </w:r>
      <w:r>
        <w:t xml:space="preserve"> </w:t>
      </w: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[17]</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[18]</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[19]</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[20,21]</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[22,23]</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[24]</w:t>
      </w:r>
      <w:r>
        <w:t xml:space="preserve">.</w:t>
      </w:r>
      <w:r>
        <w:t xml:space="preserve"> </w:t>
      </w:r>
      <w:r>
        <w:t xml:space="preserve">More information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 More specifically, we first estimated propensity scores using LASSO</w:t>
      </w:r>
      <w:r>
        <w:t xml:space="preserve"> </w:t>
      </w:r>
      <w:r>
        <w:t xml:space="preserve">logistic regression and a large set of baseline covariates including</w:t>
      </w:r>
      <w:r>
        <w:t xml:space="preserve"> </w:t>
      </w:r>
      <w:r>
        <w:t xml:space="preserve">demographics, drug exposures, diagnoses, measurements and medical devices. The</w:t>
      </w:r>
      <w:r>
        <w:t xml:space="preserve"> </w:t>
      </w:r>
      <w:r>
        <w:t xml:space="preserve">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[22,25]</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[26]</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[15]</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Reps2018"/>
    <w:p>
      <w:pPr>
        <w:pStyle w:val="Bibliography"/>
      </w:pPr>
      <w:r>
        <w:t xml:space="preserve">11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2">
        <w:r>
          <w:rPr>
            <w:rStyle w:val="Hyperlink"/>
          </w:rPr>
          <w:t xml:space="preserve">10.1093/jamia/ocy032</w:t>
        </w:r>
      </w:hyperlink>
    </w:p>
    <w:bookmarkEnd w:id="63"/>
    <w:bookmarkStart w:id="65" w:name="ref-Ryan2013"/>
    <w:p>
      <w:pPr>
        <w:pStyle w:val="Bibliography"/>
      </w:pPr>
      <w:r>
        <w:t xml:space="preserve">12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4">
        <w:r>
          <w:rPr>
            <w:rStyle w:val="Hyperlink"/>
          </w:rPr>
          <w:t xml:space="preserve">10.1007/s40264-013-0099-6</w:t>
        </w:r>
      </w:hyperlink>
    </w:p>
    <w:bookmarkEnd w:id="65"/>
    <w:bookmarkStart w:id="67" w:name="ref-Collins2015"/>
    <w:p>
      <w:pPr>
        <w:pStyle w:val="Bibliography"/>
      </w:pPr>
      <w:r>
        <w:t xml:space="preserve">13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6">
        <w:r>
          <w:rPr>
            <w:rStyle w:val="Hyperlink"/>
          </w:rPr>
          <w:t xml:space="preserve">10.1186/s12916-014-0241-z</w:t>
        </w:r>
      </w:hyperlink>
    </w:p>
    <w:bookmarkEnd w:id="67"/>
    <w:bookmarkStart w:id="69" w:name="ref-Moons2015"/>
    <w:p>
      <w:pPr>
        <w:pStyle w:val="Bibliography"/>
      </w:pPr>
      <w:r>
        <w:t xml:space="preserve">14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68">
        <w:r>
          <w:rPr>
            <w:rStyle w:val="Hyperlink"/>
          </w:rPr>
          <w:t xml:space="preserve">10.7326/m14-0698</w:t>
        </w:r>
      </w:hyperlink>
    </w:p>
    <w:bookmarkEnd w:id="69"/>
    <w:bookmarkStart w:id="71" w:name="ref-Burke2014"/>
    <w:p>
      <w:pPr>
        <w:pStyle w:val="Bibliography"/>
      </w:pPr>
      <w:r>
        <w:t xml:space="preserve">15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0">
        <w:r>
          <w:rPr>
            <w:rStyle w:val="Hyperlink"/>
          </w:rPr>
          <w:t xml:space="preserve">10.1161/circoutcomes.113.000497</w:t>
        </w:r>
      </w:hyperlink>
    </w:p>
    <w:bookmarkEnd w:id="71"/>
    <w:bookmarkStart w:id="73" w:name="ref-vanKlaveren2019"/>
    <w:p>
      <w:pPr>
        <w:pStyle w:val="Bibliography"/>
      </w:pPr>
      <w:r>
        <w:t xml:space="preserve">16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2">
        <w:r>
          <w:rPr>
            <w:rStyle w:val="Hyperlink"/>
          </w:rPr>
          <w:t xml:space="preserve">10.1016/j.jclinepi.2019.05.029</w:t>
        </w:r>
      </w:hyperlink>
    </w:p>
    <w:bookmarkEnd w:id="73"/>
    <w:bookmarkStart w:id="75" w:name="ref-Austin2011"/>
    <w:p>
      <w:pPr>
        <w:pStyle w:val="Bibliography"/>
      </w:pPr>
      <w:r>
        <w:t xml:space="preserve">17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4">
        <w:r>
          <w:rPr>
            <w:rStyle w:val="Hyperlink"/>
          </w:rPr>
          <w:t xml:space="preserve">10.1080/00273171.2011.568786</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8" w:name="ref-wiysonge2017beta"/>
    <w:p>
      <w:pPr>
        <w:pStyle w:val="Bibliography"/>
      </w:pPr>
      <w:r>
        <w:t xml:space="preserve">19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8"/>
    <w:bookmarkStart w:id="80" w:name="ref-Whelton2018"/>
    <w:p>
      <w:pPr>
        <w:pStyle w:val="Bibliography"/>
      </w:pPr>
      <w:r>
        <w:t xml:space="preserve">20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9">
        <w:r>
          <w:rPr>
            <w:rStyle w:val="Hyperlink"/>
          </w:rPr>
          <w:t xml:space="preserve">10.1161/hyp.0000000000000065</w:t>
        </w:r>
      </w:hyperlink>
    </w:p>
    <w:bookmarkEnd w:id="80"/>
    <w:bookmarkStart w:id="82" w:name="ref-Williams2018"/>
    <w:p>
      <w:pPr>
        <w:pStyle w:val="Bibliography"/>
      </w:pPr>
      <w:r>
        <w:t xml:space="preserve">21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1">
        <w:r>
          <w:rPr>
            <w:rStyle w:val="Hyperlink"/>
          </w:rPr>
          <w:t xml:space="preserve">10.1093/eurheartj/ehy339</w:t>
        </w:r>
      </w:hyperlink>
    </w:p>
    <w:bookmarkEnd w:id="82"/>
    <w:bookmarkStart w:id="84" w:name="ref-Khan2006"/>
    <w:p>
      <w:pPr>
        <w:pStyle w:val="Bibliography"/>
      </w:pPr>
      <w:r>
        <w:t xml:space="preserve">22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3">
        <w:r>
          <w:rPr>
            <w:rStyle w:val="Hyperlink"/>
          </w:rPr>
          <w:t xml:space="preserve">10.1503/cmaj.060110</w:t>
        </w:r>
      </w:hyperlink>
    </w:p>
    <w:bookmarkEnd w:id="84"/>
    <w:bookmarkStart w:id="86" w:name="ref-Rabi2020"/>
    <w:p>
      <w:pPr>
        <w:pStyle w:val="Bibliography"/>
      </w:pPr>
      <w:r>
        <w:t xml:space="preserve">23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5">
        <w:r>
          <w:rPr>
            <w:rStyle w:val="Hyperlink"/>
          </w:rPr>
          <w:t xml:space="preserve">10.1016/j.cjca.2020.02.086</w:t>
        </w:r>
      </w:hyperlink>
    </w:p>
    <w:bookmarkEnd w:id="86"/>
    <w:bookmarkStart w:id="88" w:name="ref-Suchard2019"/>
    <w:p>
      <w:pPr>
        <w:pStyle w:val="Bibliography"/>
      </w:pPr>
      <w:r>
        <w:t xml:space="preserve">24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7">
        <w:r>
          <w:rPr>
            <w:rStyle w:val="Hyperlink"/>
          </w:rPr>
          <w:t xml:space="preserve">10.1016/s0140-6736(19)32317-7</w:t>
        </w:r>
      </w:hyperlink>
    </w:p>
    <w:bookmarkEnd w:id="88"/>
    <w:bookmarkStart w:id="90" w:name="ref-Cruickshank2007"/>
    <w:p>
      <w:pPr>
        <w:pStyle w:val="Bibliography"/>
      </w:pPr>
      <w:r>
        <w:t xml:space="preserve">25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9">
        <w:r>
          <w:rPr>
            <w:rStyle w:val="Hyperlink"/>
          </w:rPr>
          <w:t xml:space="preserve">10.1016/j.ijcard.2007.01.069</w:t>
        </w:r>
      </w:hyperlink>
    </w:p>
    <w:bookmarkEnd w:id="90"/>
    <w:bookmarkStart w:id="92" w:name="ref-Rekkas2020"/>
    <w:p>
      <w:pPr>
        <w:pStyle w:val="Bibliography"/>
      </w:pPr>
      <w:r>
        <w:t xml:space="preserve">26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91">
        <w:r>
          <w:rPr>
            <w:rStyle w:val="Hyperlink"/>
          </w:rPr>
          <w:t xml:space="preserve">10.1186/s12874-020-01145-1</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4" Target="https://doi.org/10.1007/s40264-013-0099-6" TargetMode="External" /><Relationship Type="http://schemas.openxmlformats.org/officeDocument/2006/relationships/hyperlink" Id="rId85"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2" Target="https://doi.org/10.1016/j.jclinepi.2019.05.029" TargetMode="External" /><Relationship Type="http://schemas.openxmlformats.org/officeDocument/2006/relationships/hyperlink" Id="rId87"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4"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1"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2"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0" Target="https://doi.org/10.1161/circoutcomes.113.000497" TargetMode="External" /><Relationship Type="http://schemas.openxmlformats.org/officeDocument/2006/relationships/hyperlink" Id="rId79"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6" Target="https://doi.org/10.1186/s12916-014-0241-z" TargetMode="External" /><Relationship Type="http://schemas.openxmlformats.org/officeDocument/2006/relationships/hyperlink" Id="rId83"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68"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2021-05-05T12:31:37Z</dcterms:created>
  <dcterms:modified xsi:type="dcterms:W3CDTF">2021-05-05T12:31:37Z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