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 The</w:t>
      </w:r>
      <w:r>
        <w:t xml:space="preserve"> </w:t>
      </w:r>
      <w:r>
        <w:t xml:space="preserve">common data structure enables analyses at a very large scale. For example, in a</w:t>
      </w:r>
      <w:r>
        <w:t xml:space="preserve"> </w:t>
      </w:r>
      <w:r>
        <w:t xml:space="preserve">recent study, a large set of first-line treatments for hypertension was compared</w:t>
      </w:r>
      <w:r>
        <w:t xml:space="preserve"> </w:t>
      </w:r>
      <w:r>
        <w:t xml:space="preserve">with respect to 55 outcomes in a network of databases, including 4.9 million</w:t>
      </w:r>
      <w:r>
        <w:t xml:space="preserve"> </w:t>
      </w:r>
      <w:r>
        <w:t xml:space="preserve">patients from around the world</w:t>
      </w:r>
      <w:r>
        <w:t xml:space="preserve"> </w:t>
      </w:r>
      <w:r>
        <w:t xml:space="preserve">[11]</w:t>
      </w:r>
      <w:r>
        <w:t xml:space="preserve">.</w:t>
      </w:r>
    </w:p>
    <w:p>
      <w:pPr>
        <w:pStyle w:val="BodyText"/>
      </w:pPr>
      <w:r>
        <w:t xml:space="preserve">We aimed to develop a framework for risk-based assessment of treatment effect</w:t>
      </w:r>
      <w:r>
        <w:t xml:space="preserve"> </w:t>
      </w:r>
      <w:r>
        <w:t xml:space="preserve">heterogeneity in high-dimensional observational data, which extends the existing</w:t>
      </w:r>
      <w:r>
        <w:t xml:space="preserve"> </w:t>
      </w:r>
      <w:r>
        <w:t xml:space="preserve">guidelines of the RCT setting. We implemented the framework using existing OHDSI</w:t>
      </w:r>
      <w:r>
        <w:t xml:space="preserve"> </w:t>
      </w:r>
      <w:r>
        <w:t xml:space="preserve">methods for use in the OMOP-CDM, including the patient-level prediction</w:t>
      </w:r>
      <w:r>
        <w:t xml:space="preserve"> </w:t>
      </w:r>
      <w:r>
        <w:t xml:space="preserve">framework and the population-level effect estimation framework based on new-user</w:t>
      </w:r>
      <w:r>
        <w:t xml:space="preserve"> </w:t>
      </w:r>
      <w:r>
        <w:t xml:space="preserve">cohort design</w:t>
      </w:r>
      <w:r>
        <w:t xml:space="preserve"> </w:t>
      </w:r>
      <w:r>
        <w:t xml:space="preserve">[12,13]</w:t>
      </w:r>
      <w:r>
        <w:t xml:space="preserve">. As a proof-of-concept we analyzed</w:t>
      </w:r>
      <w:r>
        <w:t xml:space="preserve"> </w:t>
      </w:r>
      <w:r>
        <w:t xml:space="preserve">heterogeneity of the effects of first-line hypertension treatment: we compared</w:t>
      </w:r>
      <w:r>
        <w:t xml:space="preserve"> </w:t>
      </w:r>
      <w:r>
        <w:t xml:space="preserve">the effect of angiotensin converting enzyme (ACE) inhibitors to beta blockers</w:t>
      </w:r>
      <w:r>
        <w:t xml:space="preserve"> </w:t>
      </w:r>
      <w:r>
        <w:t xml:space="preserve">on 9 outcomes 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[16,17]</w:t>
      </w:r>
      <w:r>
        <w:t xml:space="preserve">, we develop the patient-level</w:t>
      </w:r>
      <w:r>
        <w:t xml:space="preserve"> </w:t>
      </w:r>
      <w:r>
        <w:t xml:space="preserve">prediction model in the propensity score-matched (1:1) subset of the population.</w:t>
      </w:r>
      <w:r>
        <w:t xml:space="preserve"> </w:t>
      </w: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the relative scale and differences in</w:t>
      </w:r>
      <w:r>
        <w:t xml:space="preserve"> </w:t>
      </w:r>
      <w:r>
        <w:t xml:space="preserve">proportions or differences in Kaplan-Meier estimates on the absolute scale,</w:t>
      </w:r>
      <w:r>
        <w:t xml:space="preserve"> </w:t>
      </w:r>
      <w:r>
        <w:t xml:space="preserve">depending on the problem at hand. We estimate propensity scores within risk</w:t>
      </w:r>
      <w:r>
        <w:t xml:space="preserve"> </w:t>
      </w:r>
      <w:r>
        <w:t xml:space="preserve">strata which we then use to match patients from different treatment cohorts</w:t>
      </w:r>
      <w:r>
        <w:t xml:space="preserve"> </w:t>
      </w:r>
      <w:r>
        <w:t xml:space="preserve">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the relative effects remain constant on the relative</w:t>
      </w:r>
      <w:r>
        <w:t xml:space="preserve"> </w:t>
      </w:r>
      <w:r>
        <w:t xml:space="preserve">scale 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well-established effectiveness.</w:t>
      </w:r>
      <w:r>
        <w:t xml:space="preserve"> </w:t>
      </w:r>
      <w:r>
        <w:t xml:space="preserve">Beta blockers, even though initially widely used for the treatment of</w:t>
      </w:r>
      <w:r>
        <w:t xml:space="preserve"> </w:t>
      </w:r>
      <w:r>
        <w:t xml:space="preserve">hypertension, more recent trials and meta-analyses have cast doubt on their</w:t>
      </w:r>
      <w:r>
        <w:t xml:space="preserve"> </w:t>
      </w:r>
      <w:r>
        <w:t xml:space="preserve">relative effectiveness</w:t>
      </w:r>
      <w:r>
        <w:t xml:space="preserve"> </w:t>
      </w:r>
      <w:r>
        <w:t xml:space="preserve">[20]</w:t>
      </w:r>
      <w:r>
        <w:t xml:space="preserve">. As a result, newer US guidelines</w:t>
      </w:r>
      <w:r>
        <w:t xml:space="preserve"> </w:t>
      </w:r>
      <w:r>
        <w:t xml:space="preserve">do not consider them for initial treatment for hypertension while in the EU</w:t>
      </w:r>
      <w:r>
        <w:t xml:space="preserve"> </w:t>
      </w:r>
      <w:r>
        <w:t xml:space="preserve">guidelines 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 More specifically, we first estimated propensity scores using LASSO</w:t>
      </w:r>
      <w:r>
        <w:t xml:space="preserve"> </w:t>
      </w:r>
      <w:r>
        <w:t xml:space="preserve">logistic regression and a large set of baseline covariates including</w:t>
      </w:r>
      <w:r>
        <w:t xml:space="preserve"> </w:t>
      </w:r>
      <w:r>
        <w:t xml:space="preserve">demographics, drug exposures, diagnoses, measurements and medical devices. The</w:t>
      </w:r>
      <w:r>
        <w:t xml:space="preserve"> </w:t>
      </w:r>
      <w:r>
        <w:t xml:space="preserve">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Different outcome risk</w:t>
      </w:r>
      <w:r>
        <w:t xml:space="preserve"> </w:t>
      </w:r>
      <w:r>
        <w:t xml:space="preserve">stratification schemes can also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[27,28]</w:t>
      </w:r>
      <w:r>
        <w:t xml:space="preserve">. Our method encourages open science as</w:t>
      </w:r>
      <w:r>
        <w:t xml:space="preserve"> </w:t>
      </w:r>
      <w:r>
        <w:t xml:space="preserve">it requires accurate definition of the research questions translated into clear</w:t>
      </w:r>
      <w:r>
        <w:t xml:space="preserve"> </w:t>
      </w:r>
      <w:r>
        <w:t xml:space="preserve">and reproducible cohort definitions that can easily be shared among researchers.</w:t>
      </w:r>
      <w:r>
        <w:t xml:space="preserve"> </w:t>
      </w:r>
      <w:r>
        <w:t xml:space="preserve">Our R-package provides a standardized stepwise procedure for the assessment of</w:t>
      </w:r>
      <w:r>
        <w:t xml:space="preserve"> </w:t>
      </w:r>
      <w:r>
        <w:t xml:space="preserve">HTE. 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Suchard2019"/>
    <w:p>
      <w:pPr>
        <w:pStyle w:val="Bibliography"/>
      </w:pPr>
      <w:r>
        <w:t xml:space="preserve">11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62">
        <w:r>
          <w:rPr>
            <w:rStyle w:val="Hyperlink"/>
          </w:rPr>
          <w:t xml:space="preserve">10.1016/s0140-6736(19)32317-7</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6">
        <w:r>
          <w:rPr>
            <w:rStyle w:val="Hyperlink"/>
          </w:rPr>
          <w:t xml:space="preserve">10.1080/00273171.2011.568786</w:t>
        </w:r>
      </w:hyperlink>
    </w:p>
    <w:bookmarkEnd w:id="77"/>
    <w:bookmarkStart w:id="79"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2021-05-04T13:35:13Z</dcterms:created>
  <dcterms:modified xsi:type="dcterms:W3CDTF">2021-05-04T13:35:13Z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