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 Health Data Sciences and Informatics (OHDSI)</w:t>
      </w:r>
      <w:r>
        <w:t xml:space="preserve"> </w:t>
      </w:r>
      <w:r>
        <w:t xml:space="preserve">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methods library with a framework for risk-based assessment of treatment effect</w:t>
      </w:r>
      <w:r>
        <w:t xml:space="preserve"> </w:t>
      </w:r>
      <w:r>
        <w:t xml:space="preserve">heterogeneity. The proposed framework consists of five steps: 1) definition of</w:t>
      </w:r>
      <w:r>
        <w:t xml:space="preserve"> </w:t>
      </w:r>
      <w:r>
        <w:t xml:space="preserve">the problem, i.e. the population, the treatment, the comparator and the</w:t>
      </w:r>
      <w:r>
        <w:t xml:space="preserve"> </w:t>
      </w:r>
      <w:r>
        <w:t xml:space="preserve">outcome(s) of interest; 2) identification of relevant databases; 3) development</w:t>
      </w:r>
      <w:r>
        <w:t xml:space="preserve"> </w:t>
      </w:r>
      <w:r>
        <w:t xml:space="preserve">of a prediction model for the outcome(s) of interest; 4) estimation of</w:t>
      </w:r>
      <w:r>
        <w:t xml:space="preserve"> </w:t>
      </w:r>
      <w:r>
        <w:t xml:space="preserve">propensity scores within strata of predicted risk and estimation of relative and</w:t>
      </w:r>
      <w:r>
        <w:t xml:space="preserve"> </w:t>
      </w:r>
      <w:r>
        <w:t xml:space="preserve">absolute treatment effect within strata of predicted risk; 5) evaluation and</w:t>
      </w:r>
      <w:r>
        <w:t xml:space="preserve"> </w:t>
      </w:r>
      <w:r>
        <w:t xml:space="preserve">presentation of results. We demonstrate our framework by evaluating</w:t>
      </w:r>
      <w:r>
        <w:t xml:space="preserve"> </w:t>
      </w:r>
      <w:r>
        <w:t xml:space="preserve">heterogeneity of the effect of angiotensin-converting enzyme (ACE) inhibitors</w:t>
      </w:r>
      <w:r>
        <w:t xml:space="preserve"> </w:t>
      </w:r>
      <w:r>
        <w:t xml:space="preserve">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he proposed framework may be useful for the evaluation of heterogeneity</w:t>
      </w:r>
      <w:r>
        <w:t xml:space="preserve"> </w:t>
      </w:r>
      <w:r>
        <w:t xml:space="preserve">of treatment effect on observational data that are mapped to the OMOP Common</w:t>
      </w:r>
      <w:r>
        <w:t xml:space="preserve"> </w:t>
      </w:r>
      <w:r>
        <w:t xml:space="preserve">Data Model. The proof of concept study demonstrates its feasibility in large</w:t>
      </w:r>
      <w:r>
        <w:t xml:space="preserve"> </w:t>
      </w:r>
      <w:r>
        <w:t xml:space="preserve">observational data. Further insights may arise by application to safety and</w:t>
      </w:r>
      <w:r>
        <w:t xml:space="preserve"> </w:t>
      </w:r>
      <w:r>
        <w:t xml:space="preserve">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Interest in understanding how a treatment’s effect varies across patients—a</w:t>
      </w:r>
      <w:r>
        <w:t xml:space="preserve"> </w:t>
      </w:r>
      <w:r>
        <w:t xml:space="preserve">concept described as heterogeneity of treatment effects (HTE)—has been growing.</w:t>
      </w:r>
      <w:r>
        <w:t xml:space="preserve"> </w:t>
      </w:r>
      <w:r>
        <w:t xml:space="preserve">This concept is central to the agenda for both personalized (or precision)</w:t>
      </w:r>
      <w:r>
        <w:t xml:space="preserve"> </w:t>
      </w:r>
      <w:r>
        <w:t xml:space="preserve">medicine and comparative effectiveness research. More formally, HTE has been</w:t>
      </w:r>
      <w:r>
        <w:t xml:space="preserve"> </w:t>
      </w:r>
      <w:r>
        <w:t xml:space="preserve">defined as non-random variability in the direction or magnitude of a treatment</w:t>
      </w:r>
      <w:r>
        <w:t xml:space="preserve"> </w:t>
      </w:r>
      <w:r>
        <w:t xml:space="preserve">effect, in which the effect is measured using clinical outcomes</w:t>
      </w:r>
      <w:r>
        <w:t xml:space="preserve"> </w:t>
      </w:r>
      <w:r>
        <w:t xml:space="preserve">[1]</w:t>
      </w:r>
      <w:r>
        <w:t xml:space="preserve">. Usually, analyses focus on the relative scale, where treatment</w:t>
      </w:r>
      <w:r>
        <w:t xml:space="preserve"> </w:t>
      </w:r>
      <w:r>
        <w:t xml:space="preserve">effects are assessed one at a time in patient subgroups defined from single</w:t>
      </w:r>
      <w:r>
        <w:t xml:space="preserve"> </w:t>
      </w:r>
      <w:r>
        <w:t xml:space="preserve">covariates, an approach that suffers from low power and multiplicity issues</w:t>
      </w:r>
      <w:r>
        <w:t xml:space="preserve"> </w:t>
      </w:r>
      <w:r>
        <w:t xml:space="preserve">[2]</w:t>
      </w:r>
      <w:r>
        <w:t xml:space="preserve">. However, even with well-established constant relative</w:t>
      </w:r>
      <w:r>
        <w:t xml:space="preserve"> </w:t>
      </w:r>
      <w:r>
        <w:t xml:space="preserve">effects, treatment benefit (or harm) may vary substantially on the absolute</w:t>
      </w:r>
      <w:r>
        <w:t xml:space="preserve"> </w:t>
      </w:r>
      <w:r>
        <w:t xml:space="preserve">scale.</w:t>
      </w:r>
    </w:p>
    <w:p>
      <w:pPr>
        <w:pStyle w:val="BodyText"/>
      </w:pPr>
      <w:r>
        <w:t xml:space="preserve">More recently,</w:t>
      </w:r>
      <w:r>
        <w:t xml:space="preserve"> </w:t>
      </w:r>
      <w:r>
        <w:t xml:space="preserve">“</w:t>
      </w:r>
      <w:r>
        <w:t xml:space="preserve">predictive</w:t>
      </w:r>
      <w:r>
        <w:t xml:space="preserve">”</w:t>
      </w:r>
      <w:r>
        <w:t xml:space="preserve"> </w:t>
      </w:r>
      <w:r>
        <w:t xml:space="preserve">HTE analyses have been described (and contrasted</w:t>
      </w:r>
      <w:r>
        <w:t xml:space="preserve"> </w:t>
      </w:r>
      <w:r>
        <w:t xml:space="preserve">with</w:t>
      </w:r>
      <w:r>
        <w:t xml:space="preserve"> </w:t>
      </w:r>
      <w:r>
        <w:t xml:space="preserve">“</w:t>
      </w:r>
      <w:r>
        <w:t xml:space="preserve">one-variable-at-a-time</w:t>
      </w:r>
      <w:r>
        <w:t xml:space="preserve">”</w:t>
      </w:r>
      <w:r>
        <w:t xml:space="preserve"> </w:t>
      </w:r>
      <w:r>
        <w:t xml:space="preserve">subgroup analysis) as approaches that provide</w:t>
      </w:r>
      <w:r>
        <w:t xml:space="preserve"> </w:t>
      </w:r>
      <w:r>
        <w:t xml:space="preserve">predictions of potential outcomes in a particular patient with one intervention</w:t>
      </w:r>
      <w:r>
        <w:t xml:space="preserve"> </w:t>
      </w:r>
      <w:r>
        <w:t xml:space="preserve">versus an alternative, taking into account multiple relevant patient</w:t>
      </w:r>
      <w:r>
        <w:t xml:space="preserve"> </w:t>
      </w:r>
      <w:r>
        <w:t xml:space="preserve">characteristics</w:t>
      </w:r>
      <w:r>
        <w:t xml:space="preserve"> </w:t>
      </w:r>
      <w:r>
        <w:t xml:space="preserve">[2]</w:t>
      </w:r>
      <w:r>
        <w:t xml:space="preserve">. One promising approach is</w:t>
      </w:r>
      <w:r>
        <w:t xml:space="preserve"> </w:t>
      </w:r>
      <w:r>
        <w:t xml:space="preserve">“</w:t>
      </w:r>
      <w:r>
        <w:t xml:space="preserve">risk modeling</w:t>
      </w:r>
      <w:r>
        <w:t xml:space="preserve">”</w:t>
      </w:r>
      <w:r>
        <w:t xml:space="preserve">, in</w:t>
      </w:r>
      <w:r>
        <w:t xml:space="preserve"> </w:t>
      </w:r>
      <w:r>
        <w:t xml:space="preserve">which treatment effects are estimated in strata of predicted risk</w:t>
      </w:r>
      <w:r>
        <w:t xml:space="preserve"> </w:t>
      </w:r>
      <w:r>
        <w:t xml:space="preserve">[3,4]</w:t>
      </w:r>
      <w:r>
        <w:t xml:space="preserve">. Such a risk-based approach first stratifies patients according to</w:t>
      </w:r>
      <w:r>
        <w:t xml:space="preserve"> </w:t>
      </w:r>
      <w:r>
        <w:t xml:space="preserve">baseline risk predictions, using either an existing or an internally developed</w:t>
      </w:r>
      <w:r>
        <w:t xml:space="preserve"> </w:t>
      </w:r>
      <w:r>
        <w:t xml:space="preserve">risk prediction model</w:t>
      </w:r>
      <w:r>
        <w:t xml:space="preserve"> </w:t>
      </w:r>
      <w:r>
        <w:t xml:space="preserve">[3]</w:t>
      </w:r>
      <w:r>
        <w:t xml:space="preserve">. Then, relative and absolute treatment</w:t>
      </w:r>
      <w:r>
        <w:t xml:space="preserve"> </w:t>
      </w:r>
      <w:r>
        <w:t xml:space="preserve">effects are estimated within risk strata.</w:t>
      </w:r>
    </w:p>
    <w:p>
      <w:pPr>
        <w:pStyle w:val="BodyText"/>
      </w:pPr>
      <w:r>
        <w:t xml:space="preserve">While these approaches have generally been recommended for application to</w:t>
      </w:r>
      <w:r>
        <w:t xml:space="preserve"> </w:t>
      </w:r>
      <w:r>
        <w:t xml:space="preserve">clinical trials,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[5,6]</w:t>
      </w:r>
      <w:r>
        <w:t xml:space="preserve">.</w:t>
      </w:r>
      <w:r>
        <w:t xml:space="preserve"> </w:t>
      </w:r>
      <w:r>
        <w:t xml:space="preserve">They are also often larger than many typical trials, providing excellent power</w:t>
      </w:r>
      <w:r>
        <w:t xml:space="preserve"> </w:t>
      </w:r>
      <w:r>
        <w:t xml:space="preserve">for HTE analysis, and include heterogeneous populations. However, unlike trials,</w:t>
      </w:r>
      <w:r>
        <w:t xml:space="preserve"> </w:t>
      </w:r>
      <w:r>
        <w:t xml:space="preserve">treatment effects are subject to confounding and the unique structure of</w:t>
      </w:r>
      <w:r>
        <w:t xml:space="preserve"> </w:t>
      </w:r>
      <w:r>
        <w:t xml:space="preserve">different databases calls for database-specific analysis plans that are often</w:t>
      </w:r>
      <w:r>
        <w:t xml:space="preserve"> </w:t>
      </w:r>
      <w:r>
        <w:t xml:space="preserve">not easily transportable.</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[7,8]</w:t>
      </w:r>
      <w:r>
        <w:t xml:space="preserve">. The</w:t>
      </w:r>
      <w:r>
        <w:t xml:space="preserve"> </w:t>
      </w:r>
      <w:r>
        <w:t xml:space="preserve">common data structure enables analyses at a very large scale. For example, in a</w:t>
      </w:r>
      <w:r>
        <w:t xml:space="preserve"> </w:t>
      </w:r>
      <w:r>
        <w:t xml:space="preserve">recent study, a large set of first-line treatments for hypertension was compared</w:t>
      </w:r>
      <w:r>
        <w:t xml:space="preserve"> </w:t>
      </w:r>
      <w:r>
        <w:t xml:space="preserve">with respect to 55 outcomes in a network of databases, including 4.9 million</w:t>
      </w:r>
      <w:r>
        <w:t xml:space="preserve"> </w:t>
      </w:r>
      <w:r>
        <w:t xml:space="preserve">patients from around the world</w:t>
      </w:r>
      <w:r>
        <w:t xml:space="preserve"> </w:t>
      </w:r>
      <w:r>
        <w:t xml:space="preserve">[9]</w:t>
      </w:r>
      <w:r>
        <w:t xml:space="preserve">.</w:t>
      </w:r>
    </w:p>
    <w:p>
      <w:pPr>
        <w:pStyle w:val="BodyText"/>
      </w:pPr>
      <w:r>
        <w:t xml:space="preserve">We aimed to develop a framework for risk-based assessment of treatment effect</w:t>
      </w:r>
      <w:r>
        <w:t xml:space="preserve"> </w:t>
      </w:r>
      <w:r>
        <w:t xml:space="preserve">heterogeneity in high-dimensional observational data. We implemented the</w:t>
      </w:r>
      <w:r>
        <w:t xml:space="preserve"> </w:t>
      </w:r>
      <w:r>
        <w:t xml:space="preserve">framework using existing OHDSI methods for use in the OMOP-CDM,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[10,11]</w:t>
      </w:r>
      <w:r>
        <w:t xml:space="preserve"> </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A simple overview of the procedure</w:t>
      </w:r>
      <w:r>
        <w:t xml:space="preserve"> </w:t>
      </w:r>
      <w:r>
        <w:t xml:space="preserve">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5" w:name="step-1-general-definition-of-the-problem"/>
      <w:r>
        <w:t xml:space="preserve">2.1	Step 1: General definition of the problem</w:t>
      </w:r>
      <w:bookmarkEnd w:id="25"/>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 At least three cohorts are defined:</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 in</w:t>
      </w:r>
      <w:r>
        <w:t xml:space="preserve"> </w:t>
      </w:r>
      <w:r>
        <w:t xml:space="preserve">their record.</w:t>
      </w:r>
    </w:p>
    <w:p>
      <w:pPr>
        <w:pStyle w:val="Heading2"/>
      </w:pPr>
      <w:bookmarkStart w:id="26" w:name="step-2-identification-of-the-database"/>
      <w:r>
        <w:t xml:space="preserve">2.2	Step 2: Identification of the database</w:t>
      </w:r>
      <w:bookmarkEnd w:id="26"/>
    </w:p>
    <w:p>
      <w:pPr>
        <w:pStyle w:val="FirstParagraph"/>
      </w:pPr>
      <w:r>
        <w:t xml:space="preserve">The aim of this step is the inclusion of databases that represent the patient</w:t>
      </w:r>
      <w:r>
        <w:t xml:space="preserve"> </w:t>
      </w:r>
      <w:r>
        <w:t xml:space="preserve">population of interest. The inclusion of multiple databases potentially</w:t>
      </w:r>
      <w:r>
        <w:t xml:space="preserve"> </w:t>
      </w:r>
      <w:r>
        <w:t xml:space="preserve">increases the generalizability of results. Furthermore, the cohorts should</w:t>
      </w:r>
      <w:r>
        <w:t xml:space="preserve"> </w:t>
      </w:r>
      <w:r>
        <w:t xml:space="preserve">preferably have adequate sample size to ensure precise effect estimation, even</w:t>
      </w:r>
      <w:r>
        <w:t xml:space="preserve"> </w:t>
      </w:r>
      <w:r>
        <w:t xml:space="preserve">within smaller risk strata.</w:t>
      </w:r>
    </w:p>
    <w:p>
      <w:pPr>
        <w:pStyle w:val="Heading2"/>
      </w:pPr>
      <w:bookmarkStart w:id="27" w:name="step-3-prediction"/>
      <w:r>
        <w:t xml:space="preserve">2.3	Step 3: Prediction</w:t>
      </w:r>
      <w:bookmarkEnd w:id="27"/>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[12,13]</w:t>
      </w:r>
      <w:r>
        <w:t xml:space="preserve">. This prediction framework requires the</w:t>
      </w:r>
      <w:r>
        <w:t xml:space="preserve"> </w:t>
      </w:r>
      <w:r>
        <w:t xml:space="preserve">definition of two essential cohorts: a target cohort and an outcome cohort.</w:t>
      </w:r>
    </w:p>
    <w:p>
      <w:pPr>
        <w:pStyle w:val="BodyText"/>
      </w:pPr>
      <w:r>
        <w:t xml:space="preserve">To generate the target cohort we pool the already defined treatment cohort and</w:t>
      </w:r>
      <w:r>
        <w:t xml:space="preserve"> </w:t>
      </w:r>
      <w:r>
        <w:t xml:space="preserve">comparator cohort. However, for risk-based analysis of treatment effects it is</w:t>
      </w:r>
      <w:r>
        <w:t xml:space="preserve"> </w:t>
      </w:r>
      <w:r>
        <w:t xml:space="preserve">necessary to avoid deferentially fitting the prediction model to patients across</w:t>
      </w:r>
      <w:r>
        <w:t xml:space="preserve"> </w:t>
      </w:r>
      <w:r>
        <w:t xml:space="preserve">the treatment arm in order to avoid inducing spurious interactions</w:t>
      </w:r>
      <w:r>
        <w:t xml:space="preserve"> </w:t>
      </w:r>
      <w:r>
        <w:t xml:space="preserve">[14,15]</w:t>
      </w:r>
      <w:r>
        <w:t xml:space="preserve">. To do this, we develop the patient-level prediction model in</w:t>
      </w:r>
      <w:r>
        <w:t xml:space="preserve"> </w:t>
      </w:r>
      <w:r>
        <w:t xml:space="preserve">the propensity score-matched subset of the population (1:1), where treatment</w:t>
      </w:r>
      <w:r>
        <w:t xml:space="preserve"> </w:t>
      </w:r>
      <w:r>
        <w:t xml:space="preserve">assignment is well-balanced. The propensity scores are based on LASSO logistic</w:t>
      </w:r>
      <w:r>
        <w:t xml:space="preserve"> </w:t>
      </w:r>
      <w:r>
        <w:t xml:space="preserve">regression for modeling the association between treatment assignment and all</w:t>
      </w:r>
      <w:r>
        <w:t xml:space="preserve"> </w:t>
      </w:r>
      <w:r>
        <w:t xml:space="preserve">available demographics, drug exposures, diagnoses, measurements and medical</w:t>
      </w:r>
      <w:r>
        <w:t xml:space="preserve"> </w:t>
      </w:r>
      <w:r>
        <w:t xml:space="preserve">procedures. Finally, we need to define the time horizon for which we aim to make</w:t>
      </w:r>
      <w:r>
        <w:t xml:space="preserve"> </w:t>
      </w:r>
      <w:r>
        <w:t xml:space="preserve">predictions and we need to select the machine-learning algorithm we want to use</w:t>
      </w:r>
      <w:r>
        <w:t xml:space="preserve"> </w:t>
      </w:r>
      <w:r>
        <w:t xml:space="preserve">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Heading2"/>
      </w:pPr>
      <w:bookmarkStart w:id="28" w:name="step-4-estimation"/>
      <w:r>
        <w:t xml:space="preserve">2.4	Step 4: Estimation</w:t>
      </w:r>
      <w:bookmarkEnd w:id="28"/>
    </w:p>
    <w:p>
      <w:pPr>
        <w:pStyle w:val="FirstParagraph"/>
      </w:pPr>
      <w:r>
        <w:t xml:space="preserve">We use the patient-level prediction model to divide the target population into a</w:t>
      </w:r>
      <w:r>
        <w:t xml:space="preserve"> </w:t>
      </w:r>
      <w:r>
        <w:t xml:space="preserve">set of equally-sized risk strata, typically 4 risk quarters. Then, we estimate</w:t>
      </w:r>
      <w:r>
        <w:t xml:space="preserve"> </w:t>
      </w:r>
      <w:r>
        <w:t xml:space="preserve">propensity scores within risk strata. These propensity scores are used when</w:t>
      </w:r>
      <w:r>
        <w:t xml:space="preserve"> </w:t>
      </w:r>
      <w:r>
        <w:t xml:space="preserve">estimating treatment effects, either by matching of patients from different</w:t>
      </w:r>
      <w:r>
        <w:t xml:space="preserve"> </w:t>
      </w:r>
      <w:r>
        <w:t xml:space="preserve">treatment cohorts, by stratification of patients into groups with similar</w:t>
      </w:r>
      <w:r>
        <w:t xml:space="preserve"> </w:t>
      </w:r>
      <w:r>
        <w:t xml:space="preserve">propensity scores, or by weighing patients’ contribution to the estimation</w:t>
      </w:r>
      <w:r>
        <w:t xml:space="preserve"> </w:t>
      </w:r>
      <w:r>
        <w:t xml:space="preserve">process. Within risk strata we estimate treatment effect both on the relative</w:t>
      </w:r>
      <w:r>
        <w:t xml:space="preserve"> </w:t>
      </w:r>
      <w:r>
        <w:t xml:space="preserve">and the absolute scale. It is important to evaluate treatment effects in both</w:t>
      </w:r>
      <w:r>
        <w:t xml:space="preserve"> </w:t>
      </w:r>
      <w:r>
        <w:t xml:space="preserve">scales, as effect cannot remain constant on both the relative and the absolute</w:t>
      </w:r>
      <w:r>
        <w:t xml:space="preserve"> </w:t>
      </w:r>
      <w:r>
        <w:t xml:space="preserve">scale at the same time, assuming a non-zero treatment effect. Any appropriate</w:t>
      </w:r>
      <w:r>
        <w:t xml:space="preserve"> </w:t>
      </w:r>
      <w:r>
        <w:t xml:space="preserve">method for the evaluation of relative and absolute treatment effects can be</w:t>
      </w:r>
      <w:r>
        <w:t xml:space="preserve"> </w:t>
      </w:r>
      <w:r>
        <w:t xml:space="preserve">considered, as long as the this is done consistently in all risk strata.</w:t>
      </w:r>
    </w:p>
    <w:p>
      <w:pPr>
        <w:pStyle w:val="Heading2"/>
      </w:pPr>
      <w:bookmarkStart w:id="29" w:name="X27fd54aa5334e1e877819cb9f41899728639f0d"/>
      <w:r>
        <w:t xml:space="preserve">2.5	Step 5: Result presentation and evaluation</w:t>
      </w:r>
      <w:bookmarkEnd w:id="29"/>
    </w:p>
    <w:p>
      <w:pPr>
        <w:pStyle w:val="FirstParagraph"/>
      </w:pPr>
      <w:r>
        <w:t xml:space="preserve">The number of patients and person years by treatment arm along with the number</w:t>
      </w:r>
      <w:r>
        <w:t xml:space="preserve"> </w:t>
      </w:r>
      <w:r>
        <w:t xml:space="preserve">of outcomes should be reported. A performance overview of the derived prediction</w:t>
      </w:r>
      <w:r>
        <w:t xml:space="preserve"> </w:t>
      </w:r>
      <w:r>
        <w:t xml:space="preserve">models, including discrimination and calibration both in the propensity score</w:t>
      </w:r>
      <w:r>
        <w:t xml:space="preserve"> </w:t>
      </w:r>
      <w:r>
        <w:t xml:space="preserve">matched subset, the entire population and separately for treated and comparator</w:t>
      </w:r>
      <w:r>
        <w:t xml:space="preserve"> </w:t>
      </w:r>
      <w:r>
        <w:t xml:space="preserve">patients should also be reported. This is rather relevant as the performance of</w:t>
      </w:r>
      <w:r>
        <w:t xml:space="preserve"> </w:t>
      </w:r>
      <w:r>
        <w:t xml:space="preserve">the prediction models is directly related to our ability to single out patient</w:t>
      </w:r>
      <w:r>
        <w:t xml:space="preserve"> </w:t>
      </w:r>
      <w:r>
        <w:t xml:space="preserve">subgroups where treatment may be highly beneficial or unsafe. Kent et al</w:t>
      </w:r>
      <w:r>
        <w:t xml:space="preserve"> </w:t>
      </w:r>
      <w:r>
        <w:t xml:space="preserve">[16]</w:t>
      </w:r>
      <w:r>
        <w:t xml:space="preserve"> </w:t>
      </w:r>
      <w:r>
        <w:t xml:space="preserve">demonstrated that the event rate and the discriminative ability of</w:t>
      </w:r>
      <w:r>
        <w:t xml:space="preserve"> </w:t>
      </w:r>
      <w:r>
        <w:t xml:space="preserve">the prediction model can predict very well the distribution of predicted risk.</w:t>
      </w:r>
      <w:r>
        <w:t xml:space="preserve"> </w:t>
      </w:r>
      <w:r>
        <w:t xml:space="preserve">The lower the event rate and the higher the c-statistic (given good calibration)</w:t>
      </w:r>
      <w:r>
        <w:t xml:space="preserve"> </w:t>
      </w:r>
      <w:r>
        <w:t xml:space="preserve">result in high risk heterogeneity, thus making estimated average treatment</w:t>
      </w:r>
      <w:r>
        <w:t xml:space="preserve"> </w:t>
      </w:r>
      <w:r>
        <w:t xml:space="preserve">effects uninformative. In this case, risk stratified analysis of HTE can be more</w:t>
      </w:r>
      <w:r>
        <w:t xml:space="preserve"> </w:t>
      </w:r>
      <w:r>
        <w:t xml:space="preserve">effective in singling out patient subgroups that stand to benefit (or be harmed)</w:t>
      </w:r>
      <w:r>
        <w:t xml:space="preserve"> </w:t>
      </w:r>
      <w:r>
        <w:t xml:space="preserve">most by treatment in question.</w:t>
      </w:r>
    </w:p>
    <w:p>
      <w:pPr>
        <w:pStyle w:val="BodyText"/>
      </w:pPr>
      <w:r>
        <w:t xml:space="preserve">In every risk stratum propensity score distributions by treatment group and</w:t>
      </w:r>
      <w:r>
        <w:t xml:space="preserve"> </w:t>
      </w:r>
      <w:r>
        <w:t xml:space="preserve">covariate balance plots should be made available along with event rates, hazard</w:t>
      </w:r>
      <w:r>
        <w:t xml:space="preserve"> </w:t>
      </w:r>
      <w:r>
        <w:t xml:space="preserve">ratios and absolute risk differences. Finally, the results should be generated</w:t>
      </w:r>
      <w:r>
        <w:t xml:space="preserve"> </w:t>
      </w:r>
      <w:r>
        <w:t xml:space="preserve">with a standardized format to allow for combination of results from multiple</w:t>
      </w:r>
      <w:r>
        <w:t xml:space="preserve"> </w:t>
      </w:r>
      <w:r>
        <w:t xml:space="preserve">data sources. The standardized result format also enables the development of</w:t>
      </w:r>
      <w:r>
        <w:t xml:space="preserve"> </w:t>
      </w:r>
      <w:r>
        <w:t xml:space="preserve">scalable demonstration tools such as R-shiny applications, interactive tables</w:t>
      </w:r>
      <w:r>
        <w:t xml:space="preserve"> </w:t>
      </w:r>
      <w:r>
        <w:t xml:space="preserve">and figures.</w:t>
      </w:r>
    </w:p>
    <w:p>
      <w:pPr>
        <w:pStyle w:val="Heading1"/>
      </w:pPr>
      <w:bookmarkStart w:id="30" w:name="results"/>
      <w:r>
        <w:t xml:space="preserve">3	Results</w:t>
      </w:r>
      <w:bookmarkEnd w:id="30"/>
    </w:p>
    <w:p>
      <w:pPr>
        <w:pStyle w:val="FirstParagraph"/>
      </w:pPr>
      <w:r>
        <w:t xml:space="preserve">As a proof of concept, we focus on the comparison of angiotensin converting</w:t>
      </w:r>
      <w:r>
        <w:t xml:space="preserve"> </w:t>
      </w:r>
      <w:r>
        <w:t xml:space="preserve">enzyme (ACE) inhibitors to beta blockers. ACE inhibitors are among the most</w:t>
      </w:r>
      <w:r>
        <w:t xml:space="preserve"> </w:t>
      </w:r>
      <w:r>
        <w:t xml:space="preserve">common treatment classes for hypertension, with well-established effectiveness.</w:t>
      </w:r>
      <w:r>
        <w:t xml:space="preserve"> </w:t>
      </w:r>
      <w:r>
        <w:t xml:space="preserve">Beta blockers, even though initially widely used for the treatment of</w:t>
      </w:r>
      <w:r>
        <w:t xml:space="preserve"> </w:t>
      </w:r>
      <w:r>
        <w:t xml:space="preserve">hypertension, more recent trials and meta-analyses have cast doubt on their</w:t>
      </w:r>
      <w:r>
        <w:t xml:space="preserve"> </w:t>
      </w:r>
      <w:r>
        <w:t xml:space="preserve">relative effectiveness</w:t>
      </w:r>
      <w:r>
        <w:t xml:space="preserve"> </w:t>
      </w:r>
      <w:r>
        <w:t xml:space="preserve">[17]</w:t>
      </w:r>
      <w:r>
        <w:t xml:space="preserve">. As a result, newer US guidelines</w:t>
      </w:r>
      <w:r>
        <w:t xml:space="preserve"> </w:t>
      </w:r>
      <w:r>
        <w:t xml:space="preserve">do not consider them for initial treatment for hypertension while in the EU</w:t>
      </w:r>
      <w:r>
        <w:t xml:space="preserve"> </w:t>
      </w:r>
      <w:r>
        <w:t xml:space="preserve">guidelines combination with other antihypertensive treatments is recommended</w:t>
      </w:r>
      <w:r>
        <w:t xml:space="preserve"> </w:t>
      </w:r>
      <w:r>
        <w:t xml:space="preserve">[18,19]</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[20,21]</w:t>
      </w:r>
      <w:r>
        <w:t xml:space="preserve">.</w:t>
      </w:r>
    </w:p>
    <w:p>
      <w:pPr>
        <w:pStyle w:val="Heading2"/>
      </w:pPr>
      <w:bookmarkStart w:id="31" w:name="X9a13c38e6a8499ec40a4a5828fbd07963eef224"/>
      <w:r>
        <w:t xml:space="preserve">3.1	Step 1: General definition of the problem</w:t>
      </w:r>
      <w:bookmarkEnd w:id="31"/>
    </w:p>
    <w:p>
      <w:pPr>
        <w:pStyle w:val="FirstParagraph"/>
      </w:pPr>
      <w:r>
        <w:t xml:space="preserve">We demonstrate the framework with the following research aim:</w:t>
      </w:r>
      <w:r>
        <w:t xml:space="preserve"> </w:t>
      </w:r>
      <w:r>
        <w:t xml:space="preserve">“</w:t>
      </w:r>
      <w:r>
        <w:t xml:space="preserve">to compare the</w:t>
      </w:r>
      <w:r>
        <w:t xml:space="preserve"> </w:t>
      </w:r>
      <w:r>
        <w:t xml:space="preserve">effect of ACE-inhibitors (</w:t>
      </w:r>
      <m:oMath>
        <m:r>
          <m:t>T</m:t>
        </m:r>
      </m:oMath>
      <w:r>
        <w:t xml:space="preserve">) to the effect of beta blockers (</w:t>
      </w:r>
      <m:oMath>
        <m:r>
          <m:t>C</m:t>
        </m:r>
      </m:oMath>
      <w:r>
        <w:t xml:space="preserve">) in patients</w:t>
      </w:r>
      <w:r>
        <w:t xml:space="preserve"> </w:t>
      </w:r>
      <w:r>
        <w:t xml:space="preserve">with established hypertension (</w:t>
      </w:r>
      <m:oMath>
        <m:r>
          <m:t>D</m:t>
        </m:r>
      </m:oMath>
      <w:r>
        <w:t xml:space="preserve">) with respect to 9 outcomes</w:t>
      </w:r>
      <w:r>
        <w:t xml:space="preserve"> </w:t>
      </w:r>
      <w:r>
        <w:t xml:space="preserve">(</w:t>
      </w:r>
      <m:oMath>
        <m:sSub>
          <m:e>
            <m:r>
              <m:t>O</m:t>
            </m:r>
          </m:e>
          <m:sub>
            <m:r>
              <m:t>1</m:t>
            </m:r>
          </m:sub>
        </m:sSub>
        <m:r>
          <m:t>,</m:t>
        </m:r>
        <m:r>
          <m:t>…</m:t>
        </m:r>
        <m:r>
          <m:t>,</m:t>
        </m:r>
        <m:sSub>
          <m:e>
            <m:r>
              <m:t>O</m:t>
            </m:r>
          </m:e>
          <m:sub>
            <m:r>
              <m:t>9</m:t>
            </m:r>
          </m:sub>
        </m:sSub>
      </m:oMath>
      <w:r>
        <w:t xml:space="preserve">)</w:t>
      </w:r>
      <w:r>
        <w:t xml:space="preserve">”</w:t>
      </w:r>
      <w:r>
        <w:t xml:space="preserve">. The cohorts are:</w:t>
      </w:r>
    </w:p>
    <w:p>
      <w:pPr>
        <w:numPr>
          <w:ilvl w:val="0"/>
          <w:numId w:val="1002"/>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2"/>
        </w:numPr>
        <w:pStyle w:val="Compact"/>
      </w:pPr>
      <w:r>
        <w:t xml:space="preserve">Outcome cohorts: We consider 3 main and 6 safety outcome cohorts. These are</w:t>
      </w:r>
      <w:r>
        <w:t xml:space="preserve"> </w:t>
      </w:r>
      <w:r>
        <w:t xml:space="preserve">patients in the database with a diagnosis of: acute myocardial infarction</w:t>
      </w:r>
      <w:r>
        <w:t xml:space="preserve"> </w:t>
      </w:r>
      <w:r>
        <w:t xml:space="preserve">(MI); hospitalization with heart failure; ischemic or hemorrhagic stroke</w:t>
      </w:r>
      <w:r>
        <w:t xml:space="preserve"> </w:t>
      </w:r>
      <w:r>
        <w:t xml:space="preserve">(efficacy outcomes); hypokalemia; hyperkalemia; hypotension; angioedema;</w:t>
      </w:r>
      <w:r>
        <w:t xml:space="preserve"> </w:t>
      </w:r>
      <w:r>
        <w:t xml:space="preserve">cough; abnormal weight gain (safety outcomes).</w:t>
      </w:r>
    </w:p>
    <w:p>
      <w:pPr>
        <w:pStyle w:val="FirstParagraph"/>
      </w:pPr>
      <w:r>
        <w:t xml:space="preserve">All cohort definitions can be found in the supplementary material.</w:t>
      </w:r>
    </w:p>
    <w:p>
      <w:pPr>
        <w:pStyle w:val="Heading2"/>
      </w:pPr>
      <w:bookmarkStart w:id="32" w:name="step-2-identification-of-the-databases"/>
      <w:r>
        <w:t xml:space="preserve">3.2	Step 2: Identification of the databases</w:t>
      </w:r>
      <w:bookmarkEnd w:id="32"/>
    </w:p>
    <w:p>
      <w:pPr>
        <w:pStyle w:val="FirstParagraph"/>
      </w:pPr>
      <w:r>
        <w:t xml:space="preserve">We used the following databases:</w:t>
      </w:r>
    </w:p>
    <w:p>
      <w:pPr>
        <w:numPr>
          <w:ilvl w:val="0"/>
          <w:numId w:val="1003"/>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3"/>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3"/>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Heading2"/>
      </w:pPr>
      <w:bookmarkStart w:id="33" w:name="step-3-prediction-1"/>
      <w:r>
        <w:t xml:space="preserve">3.3	Step 3: Prediction</w:t>
      </w:r>
      <w:bookmarkEnd w:id="33"/>
    </w:p>
    <w:p>
      <w:pPr>
        <w:pStyle w:val="FirstParagraph"/>
      </w:pPr>
      <w:r>
        <w:t xml:space="preserve">To obtain a target cohort for developing patient-level predictions we first</w:t>
      </w:r>
      <w:r>
        <w:t xml:space="preserve"> </w:t>
      </w:r>
      <w:r>
        <w:t xml:space="preserve">merged the ACE-inhibitors cohort with the beta blockers cohort. We then matched</w:t>
      </w:r>
      <w:r>
        <w:t xml:space="preserve"> </w:t>
      </w:r>
      <w:r>
        <w:t xml:space="preserve">patients in the ACE-inhibitor cohort to patients in the beta blockers cohort on</w:t>
      </w:r>
      <w:r>
        <w:t xml:space="preserve"> </w:t>
      </w:r>
      <w:r>
        <w:t xml:space="preserve">the propensity score. We focused on the efficacy outcomes (acute MI,</w:t>
      </w:r>
      <w:r>
        <w:t xml:space="preserve"> </w:t>
      </w:r>
      <w:r>
        <w:t xml:space="preserve">hospitalization with heart failure and hemorrhagic or ischemic stroke) for risk</w:t>
      </w:r>
      <w:r>
        <w:t xml:space="preserve"> </w:t>
      </w:r>
      <w:r>
        <w:t xml:space="preserve">stratification of the patient population. In each database, for each main</w:t>
      </w:r>
      <w:r>
        <w:t xml:space="preserve"> </w:t>
      </w:r>
      <w:r>
        <w:t xml:space="preserve">outcome, we developed a different prediction model. We chose a time horizon of 2</w:t>
      </w:r>
      <w:r>
        <w:t xml:space="preserve"> </w:t>
      </w:r>
      <w:r>
        <w:t xml:space="preserve">years after inclusion into the target cohort. We developed the prediction models</w:t>
      </w:r>
      <w:r>
        <w:t xml:space="preserve"> </w:t>
      </w:r>
      <w:r>
        <w:t xml:space="preserve">using LASSO logistic regression with 3-fold cross validation for hyper-parameter</w:t>
      </w:r>
      <w:r>
        <w:t xml:space="preserve"> </w:t>
      </w:r>
      <w:r>
        <w:t xml:space="preserve">selection.</w:t>
      </w:r>
    </w:p>
    <w:p>
      <w:pPr>
        <w:pStyle w:val="Heading2"/>
      </w:pPr>
      <w:bookmarkStart w:id="34" w:name="step-4-estimation-1"/>
      <w:r>
        <w:t xml:space="preserve">3.4	Step 4: Estimation</w:t>
      </w:r>
      <w:bookmarkEnd w:id="34"/>
    </w:p>
    <w:p>
      <w:pPr>
        <w:pStyle w:val="FirstParagraph"/>
      </w:pPr>
      <w:r>
        <w:t xml:space="preserve">We used patient-level predictions to stratify the patient population into 4 risk</w:t>
      </w:r>
      <w:r>
        <w:t xml:space="preserve"> </w:t>
      </w:r>
      <w:r>
        <w:t xml:space="preserve">quarters. We estimated relative and absolute treatment effects for all 9</w:t>
      </w:r>
      <w:r>
        <w:t xml:space="preserve"> </w:t>
      </w:r>
      <w:r>
        <w:t xml:space="preserve">outcomes of interest. In order to estimate risk quarter-specific treatment</w:t>
      </w:r>
      <w:r>
        <w:t xml:space="preserve"> </w:t>
      </w:r>
      <w:r>
        <w:t xml:space="preserve">effects we first estimated propensity scores within risk quarters. We then used</w:t>
      </w:r>
      <w:r>
        <w:t xml:space="preserve"> </w:t>
      </w:r>
      <w:r>
        <w:t xml:space="preserve">the propensity scores to stratify patients into 5 strata.</w:t>
      </w:r>
    </w:p>
    <w:p>
      <w:pPr>
        <w:pStyle w:val="Heading2"/>
      </w:pPr>
      <w:bookmarkStart w:id="35" w:name="X6610edf120bf8fdf7010e841aa9dbe0ced291b7"/>
      <w:r>
        <w:t xml:space="preserve">3.5	Step 5: Result presentation and evaluation</w:t>
      </w:r>
      <w:bookmarkEnd w:id="35"/>
    </w:p>
    <w:p>
      <w:pPr>
        <w:pStyle w:val="FirstParagraph"/>
      </w:pPr>
      <w:r>
        <w:t xml:space="preserve">Here 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r>
        <w:t xml:space="preserve"> </w:t>
      </w:r>
    </w:p>
    <w:p>
      <w:pPr>
        <w:pStyle w:val="BodyText"/>
      </w:pPr>
      <w:r>
        <w:t xml:space="preserve">Relative treatment effects of ACE-inhibitors vs beta blockers increased (hazard</w:t>
      </w:r>
      <w:r>
        <w:t xml:space="preserve"> </w:t>
      </w:r>
      <w:r>
        <w:t xml:space="preserve">ratios decreased) with increasing acute MI risk, resulting in more pronounced</w:t>
      </w:r>
      <w:r>
        <w:t xml:space="preserve"> </w:t>
      </w:r>
      <w:r>
        <w:t xml:space="preserve">absolute risk differences (ARD) with increasing 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Patients in the low risk quarter did not receive absolute benefit (-0.03%)</w:t>
      </w:r>
      <w:r>
        <w:t xml:space="preserve"> </w:t>
      </w:r>
      <w:r>
        <w:t xml:space="preserve">while absolute risk was 0.54% lower (95% confidence interval 0.36%—0.71%) for</w:t>
      </w:r>
      <w:r>
        <w:t xml:space="preserve"> </w:t>
      </w:r>
      <w:r>
        <w:t xml:space="preserve">patients in the high-risk quarter. In contrast, the absolute and relative</w:t>
      </w:r>
      <w:r>
        <w:t xml:space="preserve"> </w:t>
      </w:r>
      <w:r>
        <w:t xml:space="preserve">effects of ACE-inhibitors on safety outcomes (e.g. cough and angioedema) are</w:t>
      </w:r>
      <w:r>
        <w:t xml:space="preserve"> </w:t>
      </w:r>
      <w:r>
        <w:t xml:space="preserve">approximately constant or even slightly decreasing with increasing acute MI risk</w:t>
      </w:r>
      <w:r>
        <w:t xml:space="preserve"> </w:t>
      </w:r>
      <w:r>
        <w:t xml:space="preserve">(Figure</w:t>
      </w:r>
      <w:r>
        <w:t xml:space="preserve"> </w:t>
      </w:r>
      <w:r>
        <w:t xml:space="preserve">3.2</w:t>
      </w:r>
      <w:r>
        <w:t xml:space="preserve"> </w:t>
      </w:r>
      <w:r>
        <w:t xml:space="preserve">and</w:t>
      </w:r>
      <w:r>
        <w:t xml:space="preserve"> </w:t>
      </w:r>
      <w:r>
        <w:t xml:space="preserve">3.3</w:t>
      </w:r>
      <w:r>
        <w:t xml:space="preserve">). Similar results were observed</w:t>
      </w:r>
      <w:r>
        <w:t xml:space="preserve"> </w:t>
      </w:r>
      <w:r>
        <w:t xml:space="preserve">in the other two databases (see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This example nicely illustrates heterogeneity of absolute treatment effects,</w:t>
      </w:r>
      <w:r>
        <w:t xml:space="preserve"> </w:t>
      </w:r>
      <w:r>
        <w:t xml:space="preserve">i.e. differences in absolute benefits and harms of ACE-inhibitors vs beta</w:t>
      </w:r>
      <w:r>
        <w:t xml:space="preserve"> </w:t>
      </w:r>
      <w:r>
        <w:t xml:space="preserve">blockers for patients with different baseline risk. The results suggest that</w:t>
      </w:r>
      <w:r>
        <w:t xml:space="preserve"> </w:t>
      </w:r>
      <w:r>
        <w:t xml:space="preserve">treatment with ACE-inhibitors, compared to treatment with beta blockers, may be</w:t>
      </w:r>
      <w:r>
        <w:t xml:space="preserve"> </w:t>
      </w:r>
      <w:r>
        <w:t xml:space="preserve">focused on the higher risk patients, in whom the benefits outweigh the harms.</w:t>
      </w:r>
      <w:r>
        <w:t xml:space="preserve"> </w:t>
      </w:r>
      <w:r>
        <w:t xml:space="preserve">However, treatment with beta blockers may be a viable option in lower risk</w:t>
      </w:r>
      <w:r>
        <w:t xml:space="preserve"> </w:t>
      </w:r>
      <w:r>
        <w:t xml:space="preserve">patients, in whom the benefit-harm tradeoff is in favor of beta blockers. This</w:t>
      </w:r>
      <w:r>
        <w:t xml:space="preserve"> </w:t>
      </w:r>
      <w:r>
        <w:t xml:space="preserve">is in accordance with earlier findings that beta blockers should also be</w:t>
      </w:r>
      <w:r>
        <w:t xml:space="preserve"> </w:t>
      </w:r>
      <w:r>
        <w:t xml:space="preserve">considered as first-line treatment for younger hypertensive patients</w:t>
      </w:r>
      <w:r>
        <w:t xml:space="preserve"> </w:t>
      </w:r>
      <w:r>
        <w:t xml:space="preserve">[20,22]</w:t>
      </w:r>
      <w:r>
        <w:t xml:space="preserve">. More thorough evaluation of these results is</w:t>
      </w:r>
      <w:r>
        <w:t xml:space="preserve"> </w:t>
      </w:r>
      <w:r>
        <w:t xml:space="preserve">required in future research, however.</w:t>
      </w:r>
    </w:p>
    <w:p>
      <w:pPr>
        <w:pStyle w:val="BodyText"/>
      </w:pPr>
      <w:r>
        <w:t xml:space="preserve">The results of the analyses performed can be accessed and assessed through a</w:t>
      </w:r>
      <w:r>
        <w:t xml:space="preserve"> </w:t>
      </w:r>
      <w:r>
        <w:t xml:space="preserve">publicly available web application (</w:t>
      </w:r>
      <w:hyperlink r:id="rId39">
        <w:r>
          <w:rPr>
            <w:rStyle w:val="Hyperlink"/>
          </w:rPr>
          <w:t xml:space="preserve">https://data.ohdsi.org/AceBeta9Outcomes</w:t>
        </w:r>
      </w:hyperlink>
      <w:r>
        <w:t xml:space="preserve">).</w:t>
      </w:r>
    </w:p>
    <w:p>
      <w:pPr>
        <w:pStyle w:val="Heading1"/>
      </w:pPr>
      <w:bookmarkStart w:id="40" w:name="discussion"/>
      <w:r>
        <w:t xml:space="preserve">4	Discussion</w:t>
      </w:r>
      <w:bookmarkEnd w:id="40"/>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41">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[23]</w:t>
      </w:r>
      <w:r>
        <w:t xml:space="preserve">.</w:t>
      </w:r>
      <w:r>
        <w:t xml:space="preserve"> </w:t>
      </w:r>
      <w:r>
        <w:t xml:space="preserve">However, low power and restricted prior knowledge on the mechanisms of variation</w:t>
      </w:r>
      <w:r>
        <w:t xml:space="preserve"> </w:t>
      </w:r>
      <w:r>
        <w:t xml:space="preserve">in treatment effect are often inherent in RCTs, which are often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assessment of</w:t>
      </w:r>
      <w:r>
        <w:t xml:space="preserve"> </w:t>
      </w:r>
      <w:r>
        <w:t xml:space="preserve">treatment effect heterogeneity. Multiple outcomes can be evaluated in patient</w:t>
      </w:r>
      <w:r>
        <w:t xml:space="preserve"> </w:t>
      </w:r>
      <w:r>
        <w:t xml:space="preserve">subgroups of similar baseline outcome risk. Different outcome risk</w:t>
      </w:r>
      <w:r>
        <w:t xml:space="preserve"> </w:t>
      </w:r>
      <w:r>
        <w:t xml:space="preserve">stratification schemes can also be considered. The standardized nature of the</w:t>
      </w:r>
      <w:r>
        <w:t xml:space="preserve"> </w:t>
      </w:r>
      <w:r>
        <w:t xml:space="preserve">framework enables transportability to multiple databases, provided that they are</w:t>
      </w:r>
      <w:r>
        <w:t xml:space="preserve"> </w:t>
      </w:r>
      <w:r>
        <w:t xml:space="preserve">mapped to the OMOP-CDM.</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[24,25]</w:t>
      </w:r>
      <w:r>
        <w:t xml:space="preserve">. Our framework aims to translate these</w:t>
      </w:r>
      <w:r>
        <w:t xml:space="preserve"> </w:t>
      </w:r>
      <w:r>
        <w:t xml:space="preserve">guidelines to the observational setting while also providing a toolset for its</w:t>
      </w:r>
      <w:r>
        <w:t xml:space="preserve"> </w:t>
      </w:r>
      <w:r>
        <w:t xml:space="preserve">implementation. 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This specific approach gave accurate</w:t>
      </w:r>
      <w:r>
        <w:t xml:space="preserve"> </w:t>
      </w:r>
      <w:r>
        <w:t xml:space="preserve">results in extensive simulation studies</w:t>
      </w:r>
      <w:r>
        <w:t xml:space="preserve"> </w:t>
      </w:r>
      <w:r>
        <w:t xml:space="preserve">[26]</w:t>
      </w:r>
      <w:r>
        <w:t xml:space="preserve">. However, such approaches</w:t>
      </w:r>
      <w:r>
        <w:t xml:space="preserve"> </w:t>
      </w:r>
      <w:r>
        <w:t xml:space="preserve">do not account for unobserved confounding</w:t>
      </w:r>
      <w:r>
        <w:t xml:space="preserve"> </w:t>
      </w:r>
      <w:r>
        <w:t xml:space="preserve">[27]</w:t>
      </w:r>
      <w:r>
        <w:t xml:space="preserve">. Several sensitivity</w:t>
      </w:r>
      <w:r>
        <w:t xml:space="preserve"> </w:t>
      </w:r>
      <w:r>
        <w:t xml:space="preserve">analyses have been proposed in the literature for measuring the robustness of</w:t>
      </w:r>
      <w:r>
        <w:t xml:space="preserve"> </w:t>
      </w:r>
      <w:r>
        <w:t xml:space="preserve">results in the presence of unobserved confounding. Another approach is to</w:t>
      </w:r>
      <w:r>
        <w:t xml:space="preserve"> </w:t>
      </w:r>
      <w:r>
        <w:t xml:space="preserve">calibrate estimates and confidence intervals based on a large set of negative</w:t>
      </w:r>
      <w:r>
        <w:t xml:space="preserve"> </w:t>
      </w:r>
      <w:r>
        <w:t xml:space="preserve">controls</w:t>
      </w:r>
      <w:r>
        <w:t xml:space="preserve"> </w:t>
      </w:r>
      <w:r>
        <w:t xml:space="preserve">[28,29]</w:t>
      </w:r>
      <w:r>
        <w:t xml:space="preserve">. Negative controls are</w:t>
      </w:r>
      <w:r>
        <w:t xml:space="preserve"> </w:t>
      </w:r>
      <w:r>
        <w:t xml:space="preserve">treatment-outcome pairs for which a null effect has been established. Estimating</w:t>
      </w:r>
      <w:r>
        <w:t xml:space="preserve"> </w:t>
      </w:r>
      <w:r>
        <w:t xml:space="preserve">these effects within available data provides an approximation of the null</w:t>
      </w:r>
      <w:r>
        <w:t xml:space="preserve"> </w:t>
      </w:r>
      <w:r>
        <w:t xml:space="preserve">distribution that can be used to empirically recalibrate effect estimates.</w:t>
      </w:r>
      <w:r>
        <w:t xml:space="preserve"> </w:t>
      </w:r>
      <w:r>
        <w:t xml:space="preserve">Future work may extend our 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rough guide for</w:t>
      </w:r>
      <w:r>
        <w:t xml:space="preserve"> </w:t>
      </w:r>
      <w:r>
        <w:t xml:space="preserve">clinical interpretation, it is not appropriate to guide clinical practice, where</w:t>
      </w:r>
      <w:r>
        <w:t xml:space="preserve"> </w:t>
      </w:r>
      <w:r>
        <w:t xml:space="preserve">decisions need to be made at the individual level</w:t>
      </w:r>
      <w:r>
        <w:t xml:space="preserve"> </w:t>
      </w:r>
      <w:r>
        <w:t xml:space="preserve">[24]</w:t>
      </w:r>
      <w:r>
        <w:t xml:space="preserve">. Presentation of</w:t>
      </w:r>
      <w:r>
        <w:t xml:space="preserve"> </w:t>
      </w:r>
      <w:r>
        <w:t xml:space="preserve">treatment effects as a continuous function of risk would be more helpful, but is</w:t>
      </w:r>
      <w:r>
        <w:t xml:space="preserve"> </w:t>
      </w:r>
      <w:r>
        <w:t xml:space="preserve">methodologically challenging. Future research is necessary for the development</w:t>
      </w:r>
      <w:r>
        <w:t xml:space="preserve"> </w:t>
      </w:r>
      <w:r>
        <w:t xml:space="preserve">of methods for continuous risk-based assessment of HTE.</w:t>
      </w:r>
    </w:p>
    <w:p>
      <w:pPr>
        <w:pStyle w:val="BodyText"/>
      </w:pPr>
      <w:r>
        <w:t xml:space="preserve">Externally derived prediction models are preferred for analyzing treatment</w:t>
      </w:r>
      <w:r>
        <w:t xml:space="preserve"> </w:t>
      </w:r>
      <w:r>
        <w:t xml:space="preserve">effect heterogeneity</w:t>
      </w:r>
      <w:r>
        <w:t xml:space="preserve"> </w:t>
      </w:r>
      <w:r>
        <w:t xml:space="preserve">[3]</w:t>
      </w:r>
      <w:r>
        <w:t xml:space="preserve">. Such external models should be well</w:t>
      </w:r>
      <w:r>
        <w:t xml:space="preserve"> </w:t>
      </w:r>
      <w:r>
        <w:t xml:space="preserve">transportable. In the absence of such prediction models, simulations of RCTs</w:t>
      </w:r>
      <w:r>
        <w:t xml:space="preserve"> </w:t>
      </w:r>
      <w:r>
        <w:t xml:space="preserve">have shown that internally derived models can be used to provide unbiased</w:t>
      </w:r>
      <w:r>
        <w:t xml:space="preserve"> </w:t>
      </w:r>
      <w:r>
        <w:t xml:space="preserve">estimates of treatment effect across the spectrum of baseline risk</w:t>
      </w:r>
      <w:r>
        <w:t xml:space="preserve"> </w:t>
      </w:r>
      <w:r>
        <w:t xml:space="preserve">[14]</w:t>
      </w:r>
      <w:r>
        <w:t xml:space="preserve">. However, in observational databases treatment arms may</w:t>
      </w:r>
      <w:r>
        <w:t xml:space="preserve"> </w:t>
      </w:r>
      <w:r>
        <w:t xml:space="preserve">significantly differ in sample size. Because the prediction model will possibly</w:t>
      </w:r>
      <w:r>
        <w:t xml:space="preserve"> </w:t>
      </w:r>
      <w:r>
        <w:t xml:space="preserve">better fit to the larger treatment arm, this may introduce spurious</w:t>
      </w:r>
      <w:r>
        <w:t xml:space="preserve"> </w:t>
      </w:r>
      <w:r>
        <w:t xml:space="preserve">treatment-covariate interactions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Our contribution is a translation of the PATH statement principles to the OHDSI</w:t>
      </w:r>
      <w:r>
        <w:t xml:space="preserve"> </w:t>
      </w:r>
      <w:r>
        <w:t xml:space="preserve">methods library</w:t>
      </w:r>
      <w:r>
        <w:t xml:space="preserve"> </w:t>
      </w:r>
      <w:r>
        <w:t xml:space="preserve">[24,25]</w:t>
      </w:r>
      <w:r>
        <w:t xml:space="preserve">. Our method encourages open science as</w:t>
      </w:r>
      <w:r>
        <w:t xml:space="preserve"> </w:t>
      </w:r>
      <w:r>
        <w:t xml:space="preserve">it requires clear definition of the research questions translated into clear and</w:t>
      </w:r>
      <w:r>
        <w:t xml:space="preserve"> </w:t>
      </w:r>
      <w:r>
        <w:t xml:space="preserve">reproducible cohort definitions that can easily be shared among researchers. Our</w:t>
      </w:r>
      <w:r>
        <w:t xml:space="preserve"> </w:t>
      </w:r>
      <w:r>
        <w:t xml:space="preserve">R-package provides a standardized stepwise procedure for the assessment of HTE.</w:t>
      </w:r>
      <w:r>
        <w:t xml:space="preserve"> </w:t>
      </w:r>
      <w:r>
        <w:t xml:space="preserve">This enables source code to be easily shared and evaluated, allowing for</w:t>
      </w:r>
      <w:r>
        <w:t xml:space="preserve"> </w:t>
      </w:r>
      <w:r>
        <w:t xml:space="preserve">reproducible research. Researchers with access to different databases mapped to</w:t>
      </w:r>
      <w:r>
        <w:t xml:space="preserve"> </w:t>
      </w:r>
      <w:r>
        <w:t xml:space="preserve">OMOP-CDM can also very easily extend their overall analyses with risk-based</w:t>
      </w:r>
      <w:r>
        <w:t xml:space="preserve"> </w:t>
      </w:r>
      <w:r>
        <w:t xml:space="preserve">assessment of treatment effect heterogeneity. This enables collaboration among</w:t>
      </w:r>
      <w:r>
        <w:t xml:space="preserve"> </w:t>
      </w:r>
      <w:r>
        <w:t xml:space="preserve">multiple sites with access to different patient populations. We propose that the</w:t>
      </w:r>
      <w:r>
        <w:t xml:space="preserve"> </w:t>
      </w:r>
      <w:r>
        <w:t xml:space="preserve">framework is implemented any time treatment effect estimation in</w:t>
      </w:r>
      <w:r>
        <w:t xml:space="preserve"> </w:t>
      </w:r>
      <w:r>
        <w:t xml:space="preserve">high-dimensional observational data is undertaken.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[30,31]</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3"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Varadhan2013"/>
    <w:p>
      <w:pPr>
        <w:pStyle w:val="Bibliography"/>
      </w:pPr>
      <w:r>
        <w:t xml:space="preserve">2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5">
        <w:r>
          <w:rPr>
            <w:rStyle w:val="Hyperlink"/>
          </w:rPr>
          <w:t xml:space="preserve">10.1016/j.jclinepi.2013.02.009</w:t>
        </w:r>
      </w:hyperlink>
    </w:p>
    <w:bookmarkEnd w:id="46"/>
    <w:bookmarkStart w:id="48" w:name="ref-Kent2010"/>
    <w:p>
      <w:pPr>
        <w:pStyle w:val="Bibliography"/>
      </w:pPr>
      <w:r>
        <w:t xml:space="preserve">3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47">
        <w:r>
          <w:rPr>
            <w:rStyle w:val="Hyperlink"/>
          </w:rPr>
          <w:t xml:space="preserve">10.1186/1745-6215-11-85</w:t>
        </w:r>
      </w:hyperlink>
    </w:p>
    <w:bookmarkEnd w:id="48"/>
    <w:bookmarkStart w:id="50" w:name="ref-Kent2018"/>
    <w:p>
      <w:pPr>
        <w:pStyle w:val="Bibliography"/>
      </w:pPr>
      <w:r>
        <w:t xml:space="preserve">4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49">
        <w:r>
          <w:rPr>
            <w:rStyle w:val="Hyperlink"/>
          </w:rPr>
          <w:t xml:space="preserve">10.1136/bmj.k4245</w:t>
        </w:r>
      </w:hyperlink>
    </w:p>
    <w:bookmarkEnd w:id="50"/>
    <w:bookmarkStart w:id="52" w:name="ref-AdlerMilstein2017"/>
    <w:p>
      <w:pPr>
        <w:pStyle w:val="Bibliography"/>
      </w:pPr>
      <w:r>
        <w:t xml:space="preserve">5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1">
        <w:r>
          <w:rPr>
            <w:rStyle w:val="Hyperlink"/>
          </w:rPr>
          <w:t xml:space="preserve">10.1093/jamia/ocx080</w:t>
        </w:r>
      </w:hyperlink>
    </w:p>
    <w:bookmarkEnd w:id="52"/>
    <w:bookmarkStart w:id="54" w:name="ref-Dahabreh2014"/>
    <w:p>
      <w:pPr>
        <w:pStyle w:val="Bibliography"/>
      </w:pPr>
      <w:r>
        <w:t xml:space="preserve">6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3">
        <w:r>
          <w:rPr>
            <w:rStyle w:val="Hyperlink"/>
          </w:rPr>
          <w:t xml:space="preserve">10.1001/jama.2014.4364</w:t>
        </w:r>
      </w:hyperlink>
    </w:p>
    <w:bookmarkEnd w:id="54"/>
    <w:bookmarkStart w:id="55" w:name="ref-hripcsak2015observational"/>
    <w:p>
      <w:pPr>
        <w:pStyle w:val="Bibliography"/>
      </w:pPr>
      <w:r>
        <w:t xml:space="preserve">7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55"/>
    <w:bookmarkStart w:id="57" w:name="ref-Overhage2012"/>
    <w:p>
      <w:pPr>
        <w:pStyle w:val="Bibliography"/>
      </w:pPr>
      <w:r>
        <w:t xml:space="preserve">8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56">
        <w:r>
          <w:rPr>
            <w:rStyle w:val="Hyperlink"/>
          </w:rPr>
          <w:t xml:space="preserve">10.1136/amiajnl-2011-000376</w:t>
        </w:r>
      </w:hyperlink>
    </w:p>
    <w:bookmarkEnd w:id="57"/>
    <w:bookmarkStart w:id="59" w:name="ref-Suchard2019"/>
    <w:p>
      <w:pPr>
        <w:pStyle w:val="Bibliography"/>
      </w:pPr>
      <w:r>
        <w:t xml:space="preserve">9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58">
        <w:r>
          <w:rPr>
            <w:rStyle w:val="Hyperlink"/>
          </w:rPr>
          <w:t xml:space="preserve">10.1016/s0140-6736(19)32317-7</w:t>
        </w:r>
      </w:hyperlink>
    </w:p>
    <w:bookmarkEnd w:id="59"/>
    <w:bookmarkStart w:id="61" w:name="ref-Reps2018"/>
    <w:p>
      <w:pPr>
        <w:pStyle w:val="Bibliography"/>
      </w:pPr>
      <w:r>
        <w:t xml:space="preserve">10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0">
        <w:r>
          <w:rPr>
            <w:rStyle w:val="Hyperlink"/>
          </w:rPr>
          <w:t xml:space="preserve">10.1093/jamia/ocy032</w:t>
        </w:r>
      </w:hyperlink>
    </w:p>
    <w:bookmarkEnd w:id="61"/>
    <w:bookmarkStart w:id="63" w:name="ref-Ryan2013"/>
    <w:p>
      <w:pPr>
        <w:pStyle w:val="Bibliography"/>
      </w:pPr>
      <w:r>
        <w:t xml:space="preserve">11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2">
        <w:r>
          <w:rPr>
            <w:rStyle w:val="Hyperlink"/>
          </w:rPr>
          <w:t xml:space="preserve">10.1007/s40264-013-0099-6</w:t>
        </w:r>
      </w:hyperlink>
    </w:p>
    <w:bookmarkEnd w:id="63"/>
    <w:bookmarkStart w:id="65" w:name="ref-Collins2015"/>
    <w:p>
      <w:pPr>
        <w:pStyle w:val="Bibliography"/>
      </w:pPr>
      <w:r>
        <w:t xml:space="preserve">12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4">
        <w:r>
          <w:rPr>
            <w:rStyle w:val="Hyperlink"/>
          </w:rPr>
          <w:t xml:space="preserve">10.1186/s12916-014-0241-z</w:t>
        </w:r>
      </w:hyperlink>
    </w:p>
    <w:bookmarkEnd w:id="65"/>
    <w:bookmarkStart w:id="67" w:name="ref-Moons2015"/>
    <w:p>
      <w:pPr>
        <w:pStyle w:val="Bibliography"/>
      </w:pPr>
      <w:r>
        <w:t xml:space="preserve">13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66">
        <w:r>
          <w:rPr>
            <w:rStyle w:val="Hyperlink"/>
          </w:rPr>
          <w:t xml:space="preserve">10.7326/m14-0698</w:t>
        </w:r>
      </w:hyperlink>
    </w:p>
    <w:bookmarkEnd w:id="67"/>
    <w:bookmarkStart w:id="69" w:name="ref-Burke2014"/>
    <w:p>
      <w:pPr>
        <w:pStyle w:val="Bibliography"/>
      </w:pPr>
      <w:r>
        <w:t xml:space="preserve">14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68">
        <w:r>
          <w:rPr>
            <w:rStyle w:val="Hyperlink"/>
          </w:rPr>
          <w:t xml:space="preserve">10.1161/circoutcomes.113.000497</w:t>
        </w:r>
      </w:hyperlink>
    </w:p>
    <w:bookmarkEnd w:id="69"/>
    <w:bookmarkStart w:id="71" w:name="ref-vanKlaveren2019"/>
    <w:p>
      <w:pPr>
        <w:pStyle w:val="Bibliography"/>
      </w:pPr>
      <w:r>
        <w:t xml:space="preserve">15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0">
        <w:r>
          <w:rPr>
            <w:rStyle w:val="Hyperlink"/>
          </w:rPr>
          <w:t xml:space="preserve">10.1016/j.jclinepi.2019.05.029</w:t>
        </w:r>
      </w:hyperlink>
    </w:p>
    <w:bookmarkEnd w:id="71"/>
    <w:bookmarkStart w:id="73" w:name="ref-Kent2016"/>
    <w:p>
      <w:pPr>
        <w:pStyle w:val="Bibliography"/>
      </w:pPr>
      <w:r>
        <w:t xml:space="preserve">16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2">
        <w:r>
          <w:rPr>
            <w:rStyle w:val="Hyperlink"/>
          </w:rPr>
          <w:t xml:space="preserve">10.1093/ije/dyw118</w:t>
        </w:r>
      </w:hyperlink>
    </w:p>
    <w:bookmarkEnd w:id="73"/>
    <w:bookmarkStart w:id="74" w:name="ref-wiysonge2017beta"/>
    <w:p>
      <w:pPr>
        <w:pStyle w:val="Bibliography"/>
      </w:pPr>
      <w:r>
        <w:t xml:space="preserve">17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74"/>
    <w:bookmarkStart w:id="76" w:name="ref-Whelton2018"/>
    <w:p>
      <w:pPr>
        <w:pStyle w:val="Bibliography"/>
      </w:pPr>
      <w:r>
        <w:t xml:space="preserve">18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75">
        <w:r>
          <w:rPr>
            <w:rStyle w:val="Hyperlink"/>
          </w:rPr>
          <w:t xml:space="preserve">10.1161/hyp.0000000000000065</w:t>
        </w:r>
      </w:hyperlink>
    </w:p>
    <w:bookmarkEnd w:id="76"/>
    <w:bookmarkStart w:id="78" w:name="ref-Williams2018"/>
    <w:p>
      <w:pPr>
        <w:pStyle w:val="Bibliography"/>
      </w:pPr>
      <w:r>
        <w:t xml:space="preserve">19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77">
        <w:r>
          <w:rPr>
            <w:rStyle w:val="Hyperlink"/>
          </w:rPr>
          <w:t xml:space="preserve">10.1093/eurheartj/ehy339</w:t>
        </w:r>
      </w:hyperlink>
    </w:p>
    <w:bookmarkEnd w:id="78"/>
    <w:bookmarkStart w:id="80" w:name="ref-Khan2006"/>
    <w:p>
      <w:pPr>
        <w:pStyle w:val="Bibliography"/>
      </w:pPr>
      <w:r>
        <w:t xml:space="preserve">20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79">
        <w:r>
          <w:rPr>
            <w:rStyle w:val="Hyperlink"/>
          </w:rPr>
          <w:t xml:space="preserve">10.1503/cmaj.060110</w:t>
        </w:r>
      </w:hyperlink>
    </w:p>
    <w:bookmarkEnd w:id="80"/>
    <w:bookmarkStart w:id="82" w:name="ref-Rabi2020"/>
    <w:p>
      <w:pPr>
        <w:pStyle w:val="Bibliography"/>
      </w:pPr>
      <w:r>
        <w:t xml:space="preserve">21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1">
        <w:r>
          <w:rPr>
            <w:rStyle w:val="Hyperlink"/>
          </w:rPr>
          <w:t xml:space="preserve">10.1016/j.cjca.2020.02.086</w:t>
        </w:r>
      </w:hyperlink>
    </w:p>
    <w:bookmarkEnd w:id="82"/>
    <w:bookmarkStart w:id="84" w:name="ref-Cruickshank2007"/>
    <w:p>
      <w:pPr>
        <w:pStyle w:val="Bibliography"/>
      </w:pPr>
      <w:r>
        <w:t xml:space="preserve">22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83">
        <w:r>
          <w:rPr>
            <w:rStyle w:val="Hyperlink"/>
          </w:rPr>
          <w:t xml:space="preserve">10.1016/j.ijcard.2007.01.069</w:t>
        </w:r>
      </w:hyperlink>
    </w:p>
    <w:bookmarkEnd w:id="84"/>
    <w:bookmarkStart w:id="86" w:name="ref-Rekkas2020"/>
    <w:p>
      <w:pPr>
        <w:pStyle w:val="Bibliography"/>
      </w:pPr>
      <w:r>
        <w:t xml:space="preserve">23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85">
        <w:r>
          <w:rPr>
            <w:rStyle w:val="Hyperlink"/>
          </w:rPr>
          <w:t xml:space="preserve">10.1186/s12874-020-01145-1</w:t>
        </w:r>
      </w:hyperlink>
    </w:p>
    <w:bookmarkEnd w:id="86"/>
    <w:bookmarkStart w:id="88" w:name="ref-Kent2019"/>
    <w:p>
      <w:pPr>
        <w:pStyle w:val="Bibliography"/>
      </w:pPr>
      <w:r>
        <w:t xml:space="preserve">24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87">
        <w:r>
          <w:rPr>
            <w:rStyle w:val="Hyperlink"/>
          </w:rPr>
          <w:t xml:space="preserve">10.7326/m18-3667</w:t>
        </w:r>
      </w:hyperlink>
    </w:p>
    <w:bookmarkEnd w:id="88"/>
    <w:bookmarkStart w:id="90" w:name="ref-PathEnE"/>
    <w:p>
      <w:pPr>
        <w:pStyle w:val="Bibliography"/>
      </w:pPr>
      <w:r>
        <w:t xml:space="preserve">25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89">
        <w:r>
          <w:rPr>
            <w:rStyle w:val="Hyperlink"/>
          </w:rPr>
          <w:t xml:space="preserve">10.7326/M18-3668</w:t>
        </w:r>
      </w:hyperlink>
    </w:p>
    <w:bookmarkEnd w:id="90"/>
    <w:bookmarkStart w:id="92" w:name="ref-Tian2018"/>
    <w:p>
      <w:pPr>
        <w:pStyle w:val="Bibliography"/>
      </w:pPr>
      <w:r>
        <w:t xml:space="preserve">26 Tian Y, Schuemie MJ, Suchard MA. Evaluating large-scale propensity score performance through real-world and synthetic data experiments.</w:t>
      </w:r>
      <w:r>
        <w:t xml:space="preserve"> </w:t>
      </w:r>
      <w:r>
        <w:rPr>
          <w:i/>
        </w:rPr>
        <w:t xml:space="preserve">International Journal of Epidemiology</w:t>
      </w:r>
      <w:r>
        <w:t xml:space="preserve"> </w:t>
      </w:r>
      <w:r>
        <w:t xml:space="preserve">2018;</w:t>
      </w:r>
      <w:r>
        <w:rPr>
          <w:b/>
        </w:rPr>
        <w:t xml:space="preserve">47</w:t>
      </w:r>
      <w:r>
        <w:t xml:space="preserve">:2005–14. doi:</w:t>
      </w:r>
      <w:hyperlink r:id="rId91">
        <w:r>
          <w:rPr>
            <w:rStyle w:val="Hyperlink"/>
          </w:rPr>
          <w:t xml:space="preserve">10.1093/ije/dyy120</w:t>
        </w:r>
      </w:hyperlink>
    </w:p>
    <w:bookmarkEnd w:id="92"/>
    <w:bookmarkStart w:id="94" w:name="ref-Liu2013"/>
    <w:p>
      <w:pPr>
        <w:pStyle w:val="Bibliography"/>
      </w:pPr>
      <w:r>
        <w:t xml:space="preserve">27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3">
        <w:r>
          <w:rPr>
            <w:rStyle w:val="Hyperlink"/>
          </w:rPr>
          <w:t xml:space="preserve">10.1007/s11121-012-0339-5</w:t>
        </w:r>
      </w:hyperlink>
    </w:p>
    <w:bookmarkEnd w:id="94"/>
    <w:bookmarkStart w:id="96" w:name="ref-Schuemie2014"/>
    <w:p>
      <w:pPr>
        <w:pStyle w:val="Bibliography"/>
      </w:pPr>
      <w:r>
        <w:t xml:space="preserve">28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5">
        <w:r>
          <w:rPr>
            <w:rStyle w:val="Hyperlink"/>
          </w:rPr>
          <w:t xml:space="preserve">https://doi.org/10.1002/sim.5925</w:t>
        </w:r>
      </w:hyperlink>
    </w:p>
    <w:bookmarkEnd w:id="96"/>
    <w:bookmarkStart w:id="98" w:name="ref-Schuemie2571"/>
    <w:p>
      <w:pPr>
        <w:pStyle w:val="Bibliography"/>
      </w:pPr>
      <w:r>
        <w:t xml:space="preserve">29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97">
        <w:r>
          <w:rPr>
            <w:rStyle w:val="Hyperlink"/>
          </w:rPr>
          <w:t xml:space="preserve">10.1073/pnas.1708282114</w:t>
        </w:r>
      </w:hyperlink>
    </w:p>
    <w:bookmarkEnd w:id="98"/>
    <w:bookmarkStart w:id="100" w:name="ref-Glynn2012"/>
    <w:p>
      <w:pPr>
        <w:pStyle w:val="Bibliography"/>
      </w:pPr>
      <w:r>
        <w:t xml:space="preserve">30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99">
        <w:r>
          <w:rPr>
            <w:rStyle w:val="Hyperlink"/>
          </w:rPr>
          <w:t xml:space="preserve">10.1002/pds.3231</w:t>
        </w:r>
      </w:hyperlink>
    </w:p>
    <w:bookmarkEnd w:id="100"/>
    <w:bookmarkStart w:id="102" w:name="ref-Hansen2008"/>
    <w:p>
      <w:pPr>
        <w:pStyle w:val="Bibliography"/>
      </w:pPr>
      <w:r>
        <w:t xml:space="preserve">31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1">
        <w:r>
          <w:rPr>
            <w:rStyle w:val="Hyperlink"/>
          </w:rPr>
          <w:t xml:space="preserve">10.1093/biomet/asn004</w:t>
        </w:r>
      </w:hyperlink>
    </w:p>
    <w:bookmarkEnd w:id="102"/>
    <w:bookmarkEnd w:id="103"/>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39" Target="https://data.ohdsi.org/AceBeta9Outcomes" TargetMode="External" /><Relationship Type="http://schemas.openxmlformats.org/officeDocument/2006/relationships/hyperlink" Id="rId53" Target="https://doi.org/10.1001/jama.2014.4364" TargetMode="External" /><Relationship Type="http://schemas.openxmlformats.org/officeDocument/2006/relationships/hyperlink" Id="rId99" Target="https://doi.org/10.1002/pds.3231" TargetMode="External" /><Relationship Type="http://schemas.openxmlformats.org/officeDocument/2006/relationships/hyperlink" Id="rId93" Target="https://doi.org/10.1007/s11121-012-0339-5" TargetMode="External" /><Relationship Type="http://schemas.openxmlformats.org/officeDocument/2006/relationships/hyperlink" Id="rId62" Target="https://doi.org/10.1007/s40264-013-0099-6" TargetMode="External" /><Relationship Type="http://schemas.openxmlformats.org/officeDocument/2006/relationships/hyperlink" Id="rId81" Target="https://doi.org/10.1016/j.cjca.2020.02.086" TargetMode="External" /><Relationship Type="http://schemas.openxmlformats.org/officeDocument/2006/relationships/hyperlink" Id="rId83" Target="https://doi.org/10.1016/j.ijcard.2007.01.069" TargetMode="External" /><Relationship Type="http://schemas.openxmlformats.org/officeDocument/2006/relationships/hyperlink" Id="rId45" Target="https://doi.org/10.1016/j.jclinepi.2013.02.009" TargetMode="External" /><Relationship Type="http://schemas.openxmlformats.org/officeDocument/2006/relationships/hyperlink" Id="rId70" Target="https://doi.org/10.1016/j.jclinepi.2019.05.029" TargetMode="External" /><Relationship Type="http://schemas.openxmlformats.org/officeDocument/2006/relationships/hyperlink" Id="rId58" Target="https://doi.org/10.1016/s0140-6736(19)32317-7" TargetMode="External" /><Relationship Type="http://schemas.openxmlformats.org/officeDocument/2006/relationships/hyperlink" Id="rId97" Target="https://doi.org/10.1073/pnas.1708282114" TargetMode="External" /><Relationship Type="http://schemas.openxmlformats.org/officeDocument/2006/relationships/hyperlink" Id="rId101" Target="https://doi.org/10.1093/biomet/asn004" TargetMode="External" /><Relationship Type="http://schemas.openxmlformats.org/officeDocument/2006/relationships/hyperlink" Id="rId77" Target="https://doi.org/10.1093/eurheartj/ehy339" TargetMode="External" /><Relationship Type="http://schemas.openxmlformats.org/officeDocument/2006/relationships/hyperlink" Id="rId72" Target="https://doi.org/10.1093/ije/dyw118" TargetMode="External" /><Relationship Type="http://schemas.openxmlformats.org/officeDocument/2006/relationships/hyperlink" Id="rId91" Target="https://doi.org/10.1093/ije/dyy120" TargetMode="External" /><Relationship Type="http://schemas.openxmlformats.org/officeDocument/2006/relationships/hyperlink" Id="rId51" Target="https://doi.org/10.1093/jamia/ocx080" TargetMode="External" /><Relationship Type="http://schemas.openxmlformats.org/officeDocument/2006/relationships/hyperlink" Id="rId60"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56" Target="https://doi.org/10.1136/amiajnl-2011-000376" TargetMode="External" /><Relationship Type="http://schemas.openxmlformats.org/officeDocument/2006/relationships/hyperlink" Id="rId49" Target="https://doi.org/10.1136/bmj.k4245" TargetMode="External" /><Relationship Type="http://schemas.openxmlformats.org/officeDocument/2006/relationships/hyperlink" Id="rId68" Target="https://doi.org/10.1161/circoutcomes.113.000497" TargetMode="External" /><Relationship Type="http://schemas.openxmlformats.org/officeDocument/2006/relationships/hyperlink" Id="rId75" Target="https://doi.org/10.1161/hyp.0000000000000065" TargetMode="External" /><Relationship Type="http://schemas.openxmlformats.org/officeDocument/2006/relationships/hyperlink" Id="rId47" Target="https://doi.org/10.1186/1745-6215-11-85" TargetMode="External" /><Relationship Type="http://schemas.openxmlformats.org/officeDocument/2006/relationships/hyperlink" Id="rId85" Target="https://doi.org/10.1186/s12874-020-01145-1" TargetMode="External" /><Relationship Type="http://schemas.openxmlformats.org/officeDocument/2006/relationships/hyperlink" Id="rId64" Target="https://doi.org/10.1186/s12916-014-0241-z" TargetMode="External" /><Relationship Type="http://schemas.openxmlformats.org/officeDocument/2006/relationships/hyperlink" Id="rId79" Target="https://doi.org/10.1503/cmaj.060110" TargetMode="External" /><Relationship Type="http://schemas.openxmlformats.org/officeDocument/2006/relationships/hyperlink" Id="rId89" Target="https://doi.org/10.7326/M18-3668" TargetMode="External" /><Relationship Type="http://schemas.openxmlformats.org/officeDocument/2006/relationships/hyperlink" Id="rId66" Target="https://doi.org/10.7326/m14-0698" TargetMode="External" /><Relationship Type="http://schemas.openxmlformats.org/officeDocument/2006/relationships/hyperlink" Id="rId87" Target="https://doi.org/10.7326/m18-3667" TargetMode="External" /><Relationship Type="http://schemas.openxmlformats.org/officeDocument/2006/relationships/hyperlink" Id="rId95"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39" Target="https://data.ohdsi.org/AceBeta9Outcomes" TargetMode="External" /><Relationship Type="http://schemas.openxmlformats.org/officeDocument/2006/relationships/hyperlink" Id="rId53" Target="https://doi.org/10.1001/jama.2014.4364" TargetMode="External" /><Relationship Type="http://schemas.openxmlformats.org/officeDocument/2006/relationships/hyperlink" Id="rId99" Target="https://doi.org/10.1002/pds.3231" TargetMode="External" /><Relationship Type="http://schemas.openxmlformats.org/officeDocument/2006/relationships/hyperlink" Id="rId93" Target="https://doi.org/10.1007/s11121-012-0339-5" TargetMode="External" /><Relationship Type="http://schemas.openxmlformats.org/officeDocument/2006/relationships/hyperlink" Id="rId62" Target="https://doi.org/10.1007/s40264-013-0099-6" TargetMode="External" /><Relationship Type="http://schemas.openxmlformats.org/officeDocument/2006/relationships/hyperlink" Id="rId81" Target="https://doi.org/10.1016/j.cjca.2020.02.086" TargetMode="External" /><Relationship Type="http://schemas.openxmlformats.org/officeDocument/2006/relationships/hyperlink" Id="rId83" Target="https://doi.org/10.1016/j.ijcard.2007.01.069" TargetMode="External" /><Relationship Type="http://schemas.openxmlformats.org/officeDocument/2006/relationships/hyperlink" Id="rId45" Target="https://doi.org/10.1016/j.jclinepi.2013.02.009" TargetMode="External" /><Relationship Type="http://schemas.openxmlformats.org/officeDocument/2006/relationships/hyperlink" Id="rId70" Target="https://doi.org/10.1016/j.jclinepi.2019.05.029" TargetMode="External" /><Relationship Type="http://schemas.openxmlformats.org/officeDocument/2006/relationships/hyperlink" Id="rId58" Target="https://doi.org/10.1016/s0140-6736(19)32317-7" TargetMode="External" /><Relationship Type="http://schemas.openxmlformats.org/officeDocument/2006/relationships/hyperlink" Id="rId97" Target="https://doi.org/10.1073/pnas.1708282114" TargetMode="External" /><Relationship Type="http://schemas.openxmlformats.org/officeDocument/2006/relationships/hyperlink" Id="rId101" Target="https://doi.org/10.1093/biomet/asn004" TargetMode="External" /><Relationship Type="http://schemas.openxmlformats.org/officeDocument/2006/relationships/hyperlink" Id="rId77" Target="https://doi.org/10.1093/eurheartj/ehy339" TargetMode="External" /><Relationship Type="http://schemas.openxmlformats.org/officeDocument/2006/relationships/hyperlink" Id="rId72" Target="https://doi.org/10.1093/ije/dyw118" TargetMode="External" /><Relationship Type="http://schemas.openxmlformats.org/officeDocument/2006/relationships/hyperlink" Id="rId91" Target="https://doi.org/10.1093/ije/dyy120" TargetMode="External" /><Relationship Type="http://schemas.openxmlformats.org/officeDocument/2006/relationships/hyperlink" Id="rId51" Target="https://doi.org/10.1093/jamia/ocx080" TargetMode="External" /><Relationship Type="http://schemas.openxmlformats.org/officeDocument/2006/relationships/hyperlink" Id="rId60"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56" Target="https://doi.org/10.1136/amiajnl-2011-000376" TargetMode="External" /><Relationship Type="http://schemas.openxmlformats.org/officeDocument/2006/relationships/hyperlink" Id="rId49" Target="https://doi.org/10.1136/bmj.k4245" TargetMode="External" /><Relationship Type="http://schemas.openxmlformats.org/officeDocument/2006/relationships/hyperlink" Id="rId68" Target="https://doi.org/10.1161/circoutcomes.113.000497" TargetMode="External" /><Relationship Type="http://schemas.openxmlformats.org/officeDocument/2006/relationships/hyperlink" Id="rId75" Target="https://doi.org/10.1161/hyp.0000000000000065" TargetMode="External" /><Relationship Type="http://schemas.openxmlformats.org/officeDocument/2006/relationships/hyperlink" Id="rId47" Target="https://doi.org/10.1186/1745-6215-11-85" TargetMode="External" /><Relationship Type="http://schemas.openxmlformats.org/officeDocument/2006/relationships/hyperlink" Id="rId85" Target="https://doi.org/10.1186/s12874-020-01145-1" TargetMode="External" /><Relationship Type="http://schemas.openxmlformats.org/officeDocument/2006/relationships/hyperlink" Id="rId64" Target="https://doi.org/10.1186/s12916-014-0241-z" TargetMode="External" /><Relationship Type="http://schemas.openxmlformats.org/officeDocument/2006/relationships/hyperlink" Id="rId79" Target="https://doi.org/10.1503/cmaj.060110" TargetMode="External" /><Relationship Type="http://schemas.openxmlformats.org/officeDocument/2006/relationships/hyperlink" Id="rId89" Target="https://doi.org/10.7326/M18-3668" TargetMode="External" /><Relationship Type="http://schemas.openxmlformats.org/officeDocument/2006/relationships/hyperlink" Id="rId66" Target="https://doi.org/10.7326/m14-0698" TargetMode="External" /><Relationship Type="http://schemas.openxmlformats.org/officeDocument/2006/relationships/hyperlink" Id="rId87" Target="https://doi.org/10.7326/m18-3667" TargetMode="External" /><Relationship Type="http://schemas.openxmlformats.org/officeDocument/2006/relationships/hyperlink" Id="rId95" Target="https://doi.org/https://doi.org/10.1002/sim.5925" TargetMode="External" /><Relationship Type="http://schemas.openxmlformats.org/officeDocument/2006/relationships/hyperlink" Id="rId41"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2021-04-28T17:22:00Z</dcterms:created>
  <dcterms:modified xsi:type="dcterms:W3CDTF">2021-04-28T17:22:00Z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