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Protocol</w:t>
      </w:r>
    </w:p>
    <w:p>
      <w:pPr>
        <w:pStyle w:val="Heading1"/>
      </w:pPr>
      <w:bookmarkStart w:id="20" w:name="introduction"/>
      <w:r>
        <w:t xml:space="preserve">1	Introduction</w:t>
      </w:r>
      <w:bookmarkEnd w:id="20"/>
    </w:p>
    <w:p>
      <w:pPr>
        <w:pStyle w:val="FirstParagraph"/>
      </w:pPr>
      <w:r>
        <w:t xml:space="preserve">Risk-based HTE analyses typically result in risk stratum specific estimates of treatment effects. Different approaches to individualize treatment effects have been proposed, but it is unclear which approach performs best under different circumstances. We aim to compare different approaches to estimating individualized treatment effects.</w:t>
      </w:r>
    </w:p>
    <w:p>
      <w:pPr>
        <w:pStyle w:val="BodyText"/>
      </w:pPr>
      <w:r>
        <w:t xml:space="preserve">For all patients we observe covariates</w:t>
      </w:r>
      <w:r>
        <w:t xml:space="preserve"> </w:t>
      </w:r>
      <m:oMath>
        <m:sSub>
          <m:e>
            <m:r>
              <m:t>x</m:t>
            </m:r>
          </m:e>
          <m:sub>
            <m:r>
              <m:t>1</m:t>
            </m:r>
          </m:sub>
        </m:sSub>
        <m:r>
          <m:t>,</m:t>
        </m:r>
        <m:r>
          <m:t>…</m:t>
        </m:r>
        <m:r>
          <m:t>,</m:t>
        </m:r>
        <m:sSub>
          <m:e>
            <m:r>
              <m:t>x</m:t>
            </m:r>
          </m:e>
          <m:sub>
            <m:r>
              <m:t>8</m:t>
            </m:r>
          </m:sub>
        </m:sSub>
      </m:oMath>
      <w:r>
        <w:t xml:space="preserve">, of which</w:t>
      </w:r>
      <w:r>
        <w:t xml:space="preserve"> </w:t>
      </w:r>
      <m:oMath>
        <m:r>
          <m:t>4</m:t>
        </m:r>
      </m:oMath>
      <w:r>
        <w:t xml:space="preserve"> </w:t>
      </w:r>
      <w:r>
        <w:t xml:space="preserve">are continuous and</w:t>
      </w:r>
      <w:r>
        <w:t xml:space="preserve"> </w:t>
      </w:r>
      <m:oMath>
        <m:r>
          <m:t>4</m:t>
        </m:r>
      </m:oMath>
      <w:r>
        <w:t xml:space="preserve"> </w:t>
      </w:r>
      <w:r>
        <w:t xml:space="preserve">are binary. More specifically,</w:t>
      </w:r>
    </w:p>
    <w:p>
      <w:pPr>
        <w:pStyle w:val="BodyText"/>
      </w:pPr>
      <m:oMathPara>
        <m:oMathParaPr>
          <m:jc m:val="center"/>
        </m:oMathParaPr>
        <m:oMath>
          <m:sSub>
            <m:e>
              <m:r>
                <m:t>x</m:t>
              </m:r>
            </m:e>
            <m:sub>
              <m:r>
                <m:t>1</m:t>
              </m:r>
            </m:sub>
          </m:sSub>
          <m:r>
            <m:t>,</m:t>
          </m:r>
          <m:r>
            <m:t>…</m:t>
          </m:r>
          <m:r>
            <m:t>,</m:t>
          </m:r>
          <m:sSub>
            <m:e>
              <m:r>
                <m:t>x</m:t>
              </m:r>
            </m:e>
            <m:sub>
              <m:r>
                <m:t>4</m:t>
              </m:r>
            </m:sub>
          </m:sSub>
          <m:r>
            <m:t>∼</m:t>
          </m:r>
          <m:r>
            <m:t>N</m:t>
          </m:r>
          <m:r>
            <m:t>(</m:t>
          </m:r>
          <m:r>
            <m:t>0</m:t>
          </m:r>
          <m:r>
            <m:t>,</m:t>
          </m:r>
          <m:r>
            <m:t>1</m:t>
          </m:r>
          <m:r>
            <m:t>)</m:t>
          </m:r>
        </m:oMath>
      </m:oMathPara>
    </w:p>
    <w:p>
      <w:pPr>
        <w:pStyle w:val="FirstParagraph"/>
      </w:pPr>
      <m:oMathPara>
        <m:oMathParaPr>
          <m:jc m:val="center"/>
        </m:oMathParaPr>
        <m:oMath>
          <m:sSub>
            <m:e>
              <m:r>
                <m:t>x</m:t>
              </m:r>
            </m:e>
            <m:sub>
              <m:r>
                <m:t>5</m:t>
              </m:r>
            </m:sub>
          </m:sSub>
          <m:r>
            <m:t>,</m:t>
          </m:r>
          <m:r>
            <m:t>…</m:t>
          </m:r>
          <m:r>
            <m:t>,</m:t>
          </m:r>
          <m:sSub>
            <m:e>
              <m:r>
                <m:t>x</m:t>
              </m:r>
            </m:e>
            <m:sub>
              <m:r>
                <m:t>8</m:t>
              </m:r>
            </m:sub>
          </m:sSub>
          <m:r>
            <m:t>∼</m:t>
          </m:r>
          <m:r>
            <m:t>B</m:t>
          </m:r>
          <m:r>
            <m:t>(</m:t>
          </m:r>
          <m:r>
            <m:t>1</m:t>
          </m:r>
          <m:r>
            <m:t>,</m:t>
          </m:r>
          <m:r>
            <m:t>0.2</m:t>
          </m:r>
          <m:r>
            <m:t>)</m:t>
          </m:r>
        </m:oMath>
      </m:oMathPara>
    </w:p>
    <w:p>
      <w:pPr>
        <w:pStyle w:val="FirstParagraph"/>
      </w:pPr>
      <w:r>
        <w:t xml:space="preserve">We first, generate the binary outcomes</w:t>
      </w:r>
      <w:r>
        <w:t xml:space="preserve"> </w:t>
      </w:r>
      <m:oMath>
        <m:r>
          <m:t>y</m:t>
        </m:r>
      </m:oMath>
      <w:r>
        <w:t xml:space="preserve"> </w:t>
      </w:r>
      <w:r>
        <w:t xml:space="preserve">for the untreated patients (</w:t>
      </w:r>
      <m:oMath>
        <m:sSub>
          <m:e>
            <m:r>
              <m:t>t</m:t>
            </m:r>
          </m:e>
          <m:sub>
            <m:r>
              <m:t>x</m:t>
            </m:r>
          </m:sub>
        </m:sSub>
        <m:r>
          <m:t>=</m:t>
        </m:r>
        <m:r>
          <m:t>0</m:t>
        </m:r>
      </m:oMath>
      <w:r>
        <w:t xml:space="preserve">), based on</w:t>
      </w:r>
    </w:p>
    <w:p>
      <w:pPr>
        <w:pStyle w:val="BodyText"/>
      </w:pPr>
      <w:r>
        <w:t xml:space="preserve">$$</w:t>
      </w:r>
    </w:p>
    <w:p>
      <w:pPr>
        <w:pStyle w:val="BodyText"/>
      </w:pPr>
      <w:r>
        <w:t xml:space="preserve">where</w:t>
      </w:r>
    </w:p>
    <w:p>
      <w:pPr>
        <w:pStyle w:val="BodyText"/>
      </w:pPr>
      <m:oMathPara>
        <m:oMathParaPr>
          <m:jc m:val="center"/>
        </m:oMathParaPr>
        <m:oMath>
          <m:r>
            <m:t>g</m:t>
          </m:r>
          <m:r>
            <m:t>(</m:t>
          </m:r>
          <m:r>
            <m:t>x</m:t>
          </m:r>
          <m:r>
            <m:t>)</m:t>
          </m:r>
          <m:r>
            <m:t>=</m:t>
          </m:r>
          <m:f>
            <m:fPr>
              <m:type m:val="bar"/>
            </m:fPr>
            <m:num>
              <m:sSup>
                <m:e>
                  <m:r>
                    <m:t>e</m:t>
                  </m:r>
                </m:e>
                <m:sup>
                  <m:r>
                    <m:t>x</m:t>
                  </m:r>
                </m:sup>
              </m:sSup>
            </m:num>
            <m:den>
              <m:r>
                <m:t>1</m:t>
              </m:r>
              <m:r>
                <m:t>+</m:t>
              </m:r>
              <m:sSup>
                <m:e>
                  <m:r>
                    <m:t>e</m:t>
                  </m:r>
                </m:e>
                <m:sup>
                  <m:r>
                    <m:t>x</m:t>
                  </m:r>
                </m:sup>
              </m:sSup>
            </m:den>
          </m:f>
        </m:oMath>
      </m:oMathPara>
    </w:p>
    <w:p>
      <w:pPr>
        <w:pStyle w:val="FirstParagraph"/>
      </w:pPr>
      <w:r>
        <w:t xml:space="preserve">For treated patients, outcomes are generated from:</w:t>
      </w:r>
    </w:p>
    <w:p>
      <w:pPr>
        <w:pStyle w:val="BodyText"/>
      </w:pPr>
      <m:oMathPara>
        <m:oMathParaPr>
          <m:jc m:val="center"/>
        </m:oMathParaPr>
        <m:oMath>
          <m:r>
            <m:t>P</m:t>
          </m:r>
          <m:r>
            <m:t>(</m:t>
          </m:r>
          <m:r>
            <m:t>y</m:t>
          </m:r>
          <m:r>
            <m:t> </m:t>
          </m:r>
          <m:r>
            <m:t>|</m:t>
          </m:r>
          <m:r>
            <m:t> </m:t>
          </m:r>
          <m:r>
            <m:rPr>
              <m:sty m:val="b"/>
            </m:rPr>
            <m:t>x</m:t>
          </m:r>
          <m:r>
            <m:t>,</m:t>
          </m:r>
          <m:sSub>
            <m:e>
              <m:r>
                <m:t>t</m:t>
              </m:r>
            </m:e>
            <m:sub>
              <m:r>
                <m:t>x</m:t>
              </m:r>
            </m:sub>
          </m:sSub>
          <m:r>
            <m:t>=</m:t>
          </m:r>
          <m:r>
            <m:t>1</m:t>
          </m:r>
          <m:r>
            <m:t>)</m:t>
          </m:r>
          <m:r>
            <m:t>=</m:t>
          </m:r>
          <m:r>
            <m:t>g</m:t>
          </m:r>
          <m:r>
            <m:t>(</m:t>
          </m:r>
          <m:r>
            <m:t>l</m:t>
          </m:r>
          <m:sSub>
            <m:e>
              <m:r>
                <m:t>p</m:t>
              </m:r>
            </m:e>
            <m:sub>
              <m:r>
                <m:t>1</m:t>
              </m:r>
            </m:sub>
          </m:sSub>
          <m:r>
            <m:t>)</m:t>
          </m:r>
          <m:r>
            <m:t>  </m:t>
          </m:r>
          <m:r>
            <m:t>(</m:t>
          </m:r>
          <m:r>
            <m:t>1.2</m:t>
          </m:r>
          <m:r>
            <m:t>)</m:t>
          </m:r>
        </m:oMath>
      </m:oMathPara>
    </w:p>
    <w:p>
      <w:pPr>
        <w:pStyle w:val="FirstParagraph"/>
      </w:pPr>
      <w:r>
        <w:t xml:space="preserve">where</w:t>
      </w:r>
    </w:p>
    <w:p>
      <w:pPr>
        <w:pStyle w:val="BodyText"/>
      </w:pPr>
      <m:oMathPara>
        <m:oMathParaPr>
          <m:jc m:val="center"/>
        </m:oMathParaPr>
        <m:oMath>
          <m:r>
            <m:t>l</m:t>
          </m:r>
          <m:sSub>
            <m:e>
              <m:r>
                <m:t>p</m:t>
              </m:r>
            </m:e>
            <m:sub>
              <m:r>
                <m:t>1</m:t>
              </m:r>
            </m:sub>
          </m:sSub>
          <m:r>
            <m:t>=</m:t>
          </m:r>
          <m:sSub>
            <m:e>
              <m:r>
                <m:t>γ</m:t>
              </m:r>
            </m:e>
            <m:sub>
              <m:r>
                <m:t>2</m:t>
              </m:r>
            </m:sub>
          </m:sSub>
          <m:r>
            <m:t>(</m:t>
          </m:r>
          <m:r>
            <m:t>l</m:t>
          </m:r>
          <m:sSub>
            <m:e>
              <m:r>
                <m:t>p</m:t>
              </m:r>
            </m:e>
            <m:sub>
              <m:r>
                <m:t>0</m:t>
              </m:r>
            </m:sub>
          </m:sSub>
          <m:r>
            <m:t>−</m:t>
          </m:r>
          <m:r>
            <m:t>c</m:t>
          </m:r>
          <m:sSup>
            <m:e>
              <m:r>
                <m:t>)</m:t>
              </m:r>
            </m:e>
            <m:sup>
              <m:r>
                <m:t>2</m:t>
              </m:r>
            </m:sup>
          </m:sSup>
          <m:r>
            <m:t>+</m:t>
          </m:r>
          <m:sSub>
            <m:e>
              <m:r>
                <m:t>γ</m:t>
              </m:r>
            </m:e>
            <m:sub>
              <m:r>
                <m:t>1</m:t>
              </m:r>
            </m:sub>
          </m:sSub>
          <m:r>
            <m:t>(</m:t>
          </m:r>
          <m:r>
            <m:t>l</m:t>
          </m:r>
          <m:sSub>
            <m:e>
              <m:r>
                <m:t>p</m:t>
              </m:r>
            </m:e>
            <m:sub>
              <m:r>
                <m:t>0</m:t>
              </m:r>
            </m:sub>
          </m:sSub>
          <m:r>
            <m:t>−</m:t>
          </m:r>
          <m:r>
            <m:t>c</m:t>
          </m:r>
          <m:r>
            <m:t>)</m:t>
          </m:r>
          <m:r>
            <m:t>+</m:t>
          </m:r>
          <m:sSub>
            <m:e>
              <m:r>
                <m:t>γ</m:t>
              </m:r>
            </m:e>
            <m:sub>
              <m:r>
                <m:t>0</m:t>
              </m:r>
            </m:sub>
          </m:sSub>
        </m:oMath>
      </m:oMathPara>
    </w:p>
    <w:p>
      <w:pPr>
        <w:pStyle w:val="Heading1"/>
      </w:pPr>
      <w:bookmarkStart w:id="21" w:name="settings"/>
      <w:r>
        <w:t xml:space="preserve">2	Settings</w:t>
      </w:r>
      <w:bookmarkEnd w:id="21"/>
    </w:p>
    <w:p>
      <w:pPr>
        <w:pStyle w:val="Heading2"/>
      </w:pPr>
      <w:bookmarkStart w:id="22" w:name="base-case-scenario"/>
      <w:r>
        <w:t xml:space="preserve">2.1	Base-case scenario</w:t>
      </w:r>
      <w:bookmarkEnd w:id="22"/>
    </w:p>
    <w:p>
      <w:pPr>
        <w:pStyle w:val="FirstParagraph"/>
      </w:pPr>
      <w:r>
        <w:t xml:space="preserve">The base-case scenario assumes a constant odds ratio of</w:t>
      </w:r>
      <w:r>
        <w:t xml:space="preserve"> </w:t>
      </w:r>
      <m:oMath>
        <m:r>
          <m:t>0.8</m:t>
        </m:r>
      </m:oMath>
      <w:r>
        <w:t xml:space="preserve"> </w:t>
      </w:r>
      <w:r>
        <w:t xml:space="preserve">in favor of treatment. The simulated datasets are of size</w:t>
      </w:r>
      <w:r>
        <w:t xml:space="preserve"> </w:t>
      </w:r>
      <m:oMath>
        <m:r>
          <m:t>n</m:t>
        </m:r>
        <m:r>
          <m:t>=</m:t>
        </m:r>
        <m:r>
          <m:t>4250</m:t>
        </m:r>
      </m:oMath>
      <w:r>
        <w:t xml:space="preserve">, where treatment is allocated at random using a 50/50 split (80% power for the detection of an unadjusted OR of 0.8, assuming an event rate of 20% in the untreated arm). Outcome incidence in the untreated population is set at</w:t>
      </w:r>
      <w:r>
        <w:t xml:space="preserve"> </w:t>
      </w:r>
      <m:oMath>
        <m:r>
          <m:t>20</m:t>
        </m:r>
        <m:r>
          <m:t>%</m:t>
        </m:r>
      </m:oMath>
      <w:r>
        <w:t xml:space="preserve">. For the development of the prediction model we use the model defined in (1.1) including a constant treatment effect. When doing predictions,</w:t>
      </w:r>
      <w:r>
        <w:t xml:space="preserve"> </w:t>
      </w:r>
      <m:oMath>
        <m:sSub>
          <m:e>
            <m:r>
              <m:t>t</m:t>
            </m:r>
          </m:e>
          <m:sub>
            <m:r>
              <m:t>x</m:t>
            </m:r>
          </m:sub>
        </m:sSub>
      </m:oMath>
      <w:r>
        <w:t xml:space="preserve"> </w:t>
      </w:r>
      <w:r>
        <w:t xml:space="preserve">is set to</w:t>
      </w:r>
      <w:r>
        <w:t xml:space="preserve"> </w:t>
      </w:r>
      <m:oMath>
        <m:r>
          <m:t>0</m:t>
        </m:r>
      </m:oMath>
      <w:r>
        <w:t xml:space="preserve">. The value of the true</w:t>
      </w:r>
      <w:r>
        <w:t xml:space="preserve"> </w:t>
      </w:r>
      <m:oMath>
        <m:r>
          <m:rPr>
            <m:sty m:val="b"/>
          </m:rPr>
          <m:t>β</m:t>
        </m:r>
      </m:oMath>
      <w:r>
        <w:t xml:space="preserve"> </w:t>
      </w:r>
      <w:r>
        <w:t xml:space="preserve">is such that the above prediction model has an AUC of</w:t>
      </w:r>
      <w:r>
        <w:t xml:space="preserve"> </w:t>
      </w:r>
      <m:oMath>
        <m:r>
          <m:t>0.75</m:t>
        </m:r>
      </m:oMath>
      <w:r>
        <w:t xml:space="preserve">.</w:t>
      </w:r>
    </w:p>
    <w:p>
      <w:pPr>
        <w:pStyle w:val="BodyText"/>
      </w:pPr>
      <w:r>
        <w:t xml:space="preserve">The previously defined targets are achieved when</w:t>
      </w:r>
      <w:r>
        <w:t xml:space="preserve"> </w:t>
      </w:r>
      <m:oMath>
        <m:r>
          <m:rPr>
            <m:sty m:val="b"/>
          </m:rPr>
          <m:t>β</m:t>
        </m:r>
        <m:r>
          <m:t>=</m:t>
        </m:r>
        <m:r>
          <m:t>(</m:t>
        </m:r>
        <m:r>
          <m:t>−</m:t>
        </m:r>
        <m:r>
          <m:t>2.08</m:t>
        </m:r>
        <m:r>
          <m:t>,</m:t>
        </m:r>
        <m:r>
          <m:t>0.49</m:t>
        </m:r>
        <m:r>
          <m:t>,</m:t>
        </m:r>
        <m:r>
          <m:t>…</m:t>
        </m:r>
        <m:r>
          <m:t>,</m:t>
        </m:r>
        <m:r>
          <m:t>0.49</m:t>
        </m:r>
        <m:sSup>
          <m:e>
            <m:r>
              <m:t>)</m:t>
            </m:r>
          </m:e>
          <m:sup>
            <m:r>
              <m:t>t</m:t>
            </m:r>
          </m:sup>
        </m:sSup>
      </m:oMath>
      <w:r>
        <w:t xml:space="preserve">. For the derivations in the treatment arm we use</w:t>
      </w:r>
      <w:r>
        <w:t xml:space="preserve"> </w:t>
      </w:r>
      <m:oMath>
        <m:r>
          <m:rPr>
            <m:sty m:val="b"/>
          </m:rPr>
          <m:t>γ</m:t>
        </m:r>
        <m:r>
          <m:t>=</m:t>
        </m:r>
        <m:r>
          <m:t>(</m:t>
        </m:r>
        <m:r>
          <m:rPr>
            <m:nor/>
            <m:sty m:val="p"/>
          </m:rPr>
          <m:t>log</m:t>
        </m:r>
        <m:r>
          <m:t>(</m:t>
        </m:r>
        <m:r>
          <m:t>0.8</m:t>
        </m:r>
        <m:r>
          <m:t>)</m:t>
        </m:r>
        <m:r>
          <m:t>,</m:t>
        </m:r>
        <m:r>
          <m:t>1</m:t>
        </m:r>
        <m:r>
          <m:t>,</m:t>
        </m:r>
        <m:r>
          <m:t>0</m:t>
        </m:r>
        <m:sSup>
          <m:e>
            <m:r>
              <m:t>)</m:t>
            </m:r>
          </m:e>
          <m:sup>
            <m:r>
              <m:t>t</m:t>
            </m:r>
          </m:sup>
        </m:sSup>
      </m:oMath>
      <w:r>
        <w:t xml:space="preserve">.</w:t>
      </w:r>
    </w:p>
    <w:p>
      <w:pPr>
        <w:pStyle w:val="Heading2"/>
      </w:pPr>
      <w:bookmarkStart w:id="23" w:name="deviations-from-base-case"/>
      <w:r>
        <w:t xml:space="preserve">2.2	Deviations from base-case</w:t>
      </w:r>
      <w:bookmarkEnd w:id="23"/>
    </w:p>
    <w:p>
      <w:pPr>
        <w:pStyle w:val="FirstParagraph"/>
      </w:pPr>
      <w:r>
        <w:t xml:space="preserve">We deviate from the base-case scenario in two ways. First, we alter the overall target settings of sample size, overall treatment effect and prediction model AUC. In a second stage, we consider settings that violate the assumption of a constant relative treatment effect, using a model-based approach.</w:t>
      </w:r>
    </w:p>
    <w:p>
      <w:pPr>
        <w:pStyle w:val="BodyText"/>
      </w:pPr>
      <w:r>
        <w:t xml:space="preserve">For the first part, we consider:</w:t>
      </w:r>
    </w:p>
    <w:p>
      <w:pPr>
        <w:numPr>
          <w:ilvl w:val="0"/>
          <w:numId w:val="1001"/>
        </w:numPr>
        <w:pStyle w:val="Compact"/>
      </w:pPr>
      <w:r>
        <w:t xml:space="preserve">Sample size:</w:t>
      </w:r>
    </w:p>
    <w:p>
      <w:pPr>
        <w:numPr>
          <w:ilvl w:val="1"/>
          <w:numId w:val="1002"/>
        </w:numPr>
        <w:pStyle w:val="Compact"/>
      </w:pPr>
      <m:oMath>
        <m:r>
          <m:t>n</m:t>
        </m:r>
        <m:r>
          <m:t>=</m:t>
        </m:r>
        <m:r>
          <m:t>1064</m:t>
        </m:r>
      </m:oMath>
    </w:p>
    <w:p>
      <w:pPr>
        <w:numPr>
          <w:ilvl w:val="1"/>
          <w:numId w:val="1002"/>
        </w:numPr>
        <w:pStyle w:val="Compact"/>
      </w:pPr>
      <m:oMath>
        <m:r>
          <m:t>n</m:t>
        </m:r>
        <m:r>
          <m:t>=</m:t>
        </m:r>
        <m:r>
          <m:t>17000</m:t>
        </m:r>
      </m:oMath>
    </w:p>
    <w:p>
      <w:pPr>
        <w:numPr>
          <w:ilvl w:val="0"/>
          <w:numId w:val="1001"/>
        </w:numPr>
        <w:pStyle w:val="Compact"/>
      </w:pPr>
      <w:r>
        <w:t xml:space="preserve">Overall treatment effect:</w:t>
      </w:r>
    </w:p>
    <w:p>
      <w:pPr>
        <w:numPr>
          <w:ilvl w:val="1"/>
          <w:numId w:val="1003"/>
        </w:numPr>
        <w:pStyle w:val="Compact"/>
      </w:pPr>
      <m:oMath>
        <m:r>
          <m:t>O</m:t>
        </m:r>
        <m:r>
          <m:t>R</m:t>
        </m:r>
        <m:r>
          <m:t>=</m:t>
        </m:r>
        <m:r>
          <m:t>0.5</m:t>
        </m:r>
      </m:oMath>
    </w:p>
    <w:p>
      <w:pPr>
        <w:numPr>
          <w:ilvl w:val="1"/>
          <w:numId w:val="1003"/>
        </w:numPr>
        <w:pStyle w:val="Compact"/>
      </w:pPr>
      <m:oMath>
        <m:r>
          <m:t>O</m:t>
        </m:r>
        <m:r>
          <m:t>R</m:t>
        </m:r>
        <m:r>
          <m:t>=</m:t>
        </m:r>
        <m:r>
          <m:t>1</m:t>
        </m:r>
      </m:oMath>
    </w:p>
    <w:p>
      <w:pPr>
        <w:numPr>
          <w:ilvl w:val="0"/>
          <w:numId w:val="1001"/>
        </w:numPr>
        <w:pStyle w:val="Compact"/>
      </w:pPr>
      <w:r>
        <w:t xml:space="preserve">Prediction performance:</w:t>
      </w:r>
    </w:p>
    <w:p>
      <w:pPr>
        <w:numPr>
          <w:ilvl w:val="1"/>
          <w:numId w:val="1004"/>
        </w:numPr>
        <w:pStyle w:val="Compact"/>
      </w:pPr>
      <m:oMath>
        <m:r>
          <m:t>A</m:t>
        </m:r>
        <m:r>
          <m:t>U</m:t>
        </m:r>
        <m:r>
          <m:t>C</m:t>
        </m:r>
        <m:r>
          <m:t>=</m:t>
        </m:r>
        <m:r>
          <m:t>0.65</m:t>
        </m:r>
      </m:oMath>
    </w:p>
    <w:p>
      <w:pPr>
        <w:numPr>
          <w:ilvl w:val="1"/>
          <w:numId w:val="1004"/>
        </w:numPr>
        <w:pStyle w:val="Compact"/>
      </w:pPr>
      <m:oMath>
        <m:r>
          <m:t>A</m:t>
        </m:r>
        <m:r>
          <m:t>U</m:t>
        </m:r>
        <m:r>
          <m:t>C</m:t>
        </m:r>
        <m:r>
          <m:t>=</m:t>
        </m:r>
        <m:r>
          <m:t>0.85</m:t>
        </m:r>
      </m:oMath>
    </w:p>
    <w:p>
      <w:pPr>
        <w:pStyle w:val="FirstParagraph"/>
      </w:pPr>
      <w:r>
        <w:t xml:space="preserve">We set the true risk model coefficients to be</w:t>
      </w:r>
      <w:r>
        <w:t xml:space="preserve"> </w:t>
      </w:r>
      <m:oMath>
        <m:r>
          <m:rPr>
            <m:sty m:val="b"/>
          </m:rPr>
          <m:t>β</m:t>
        </m:r>
        <m:r>
          <m:t>=</m:t>
        </m:r>
        <m:r>
          <m:t>(</m:t>
        </m:r>
        <m:r>
          <m:t>−</m:t>
        </m:r>
        <m:r>
          <m:t>1.63</m:t>
        </m:r>
        <m:r>
          <m:t>,</m:t>
        </m:r>
        <m:r>
          <m:t>0.26</m:t>
        </m:r>
        <m:r>
          <m:t>,</m:t>
        </m:r>
        <m:r>
          <m:t>…</m:t>
        </m:r>
        <m:r>
          <m:t>,</m:t>
        </m:r>
        <m:r>
          <m:t>0.26</m:t>
        </m:r>
        <m:sSup>
          <m:e>
            <m:r>
              <m:t>)</m:t>
            </m:r>
          </m:e>
          <m:sup>
            <m:r>
              <m:t>t</m:t>
            </m:r>
          </m:sup>
        </m:sSup>
      </m:oMath>
      <w:r>
        <w:t xml:space="preserve"> </w:t>
      </w:r>
      <w:r>
        <w:t xml:space="preserve">for</w:t>
      </w:r>
      <w:r>
        <w:t xml:space="preserve"> </w:t>
      </w:r>
      <m:oMath>
        <m:r>
          <m:t>A</m:t>
        </m:r>
        <m:r>
          <m:t>U</m:t>
        </m:r>
        <m:r>
          <m:t>C</m:t>
        </m:r>
        <m:r>
          <m:t>=</m:t>
        </m:r>
        <m:r>
          <m:t>0.65</m:t>
        </m:r>
      </m:oMath>
      <w:r>
        <w:t xml:space="preserve"> </w:t>
      </w:r>
      <w:r>
        <w:t xml:space="preserve">and</w:t>
      </w:r>
      <w:r>
        <w:t xml:space="preserve"> </w:t>
      </w:r>
      <m:oMath>
        <m:r>
          <m:rPr>
            <m:sty m:val="b"/>
          </m:rPr>
          <m:t>β</m:t>
        </m:r>
        <m:r>
          <m:t>=</m:t>
        </m:r>
        <m:r>
          <m:t>(</m:t>
        </m:r>
        <m:r>
          <m:t>−</m:t>
        </m:r>
        <m:r>
          <m:t>2.7</m:t>
        </m:r>
        <m:r>
          <m:t>,</m:t>
        </m:r>
        <m:r>
          <m:t>0.82</m:t>
        </m:r>
        <m:r>
          <m:t>,</m:t>
        </m:r>
        <m:r>
          <m:t>…</m:t>
        </m:r>
        <m:r>
          <m:t>,</m:t>
        </m:r>
        <m:r>
          <m:t>0.82</m:t>
        </m:r>
        <m:sSup>
          <m:e>
            <m:r>
              <m:t>)</m:t>
            </m:r>
          </m:e>
          <m:sup>
            <m:r>
              <m:t>t</m:t>
            </m:r>
          </m:sup>
        </m:sSup>
      </m:oMath>
      <w:r>
        <w:t xml:space="preserve"> </w:t>
      </w:r>
      <w:r>
        <w:t xml:space="preserve">for</w:t>
      </w:r>
      <w:r>
        <w:t xml:space="preserve"> </w:t>
      </w:r>
      <m:oMath>
        <m:r>
          <m:t>A</m:t>
        </m:r>
        <m:r>
          <m:t>U</m:t>
        </m:r>
        <m:r>
          <m:t>C</m:t>
        </m:r>
        <m:r>
          <m:t>=</m:t>
        </m:r>
        <m:r>
          <m:t>0.85</m:t>
        </m:r>
      </m:oMath>
      <w:r>
        <w:t xml:space="preserve">. In both cases,</w:t>
      </w:r>
      <w:r>
        <w:t xml:space="preserve"> </w:t>
      </w:r>
      <m:oMath>
        <m:sSub>
          <m:e>
            <m:r>
              <m:t>β</m:t>
            </m:r>
          </m:e>
          <m:sub>
            <m:r>
              <m:t>0</m:t>
            </m:r>
          </m:sub>
        </m:sSub>
      </m:oMath>
      <w:r>
        <w:t xml:space="preserve"> </w:t>
      </w:r>
      <w:r>
        <w:t xml:space="preserve">is selected so that an event rate of</w:t>
      </w:r>
      <w:r>
        <w:t xml:space="preserve"> </w:t>
      </w:r>
      <m:oMath>
        <m:r>
          <m:t>20</m:t>
        </m:r>
        <m:r>
          <m:t>%</m:t>
        </m:r>
      </m:oMath>
      <w:r>
        <w:t xml:space="preserve"> </w:t>
      </w:r>
      <w:r>
        <w:t xml:space="preserve">is maintained in the control arm.</w:t>
      </w:r>
    </w:p>
    <w:p>
      <w:pPr>
        <w:pStyle w:val="BodyText"/>
      </w:pPr>
      <w:r>
        <w:t xml:space="preserve">For the second part linear and quadratic deviations from the assumption of</w:t>
      </w:r>
      <w:r>
        <w:t xml:space="preserve"> </w:t>
      </w:r>
      <w:r>
        <w:t xml:space="preserve">constant relative effect are considered. We also consider different intensity</w:t>
      </w:r>
      <w:r>
        <w:t xml:space="preserve"> </w:t>
      </w:r>
      <w:r>
        <w:t xml:space="preserve">levels of these deviations. The settings for these deviations are defined in</w:t>
      </w:r>
      <w:r>
        <w:t xml:space="preserve"> </w:t>
      </w:r>
      <w:r>
        <w:t xml:space="preserve">supplementary Table</w:t>
      </w:r>
      <w:r>
        <w:t xml:space="preserve"> </w:t>
      </w:r>
      <w:r>
        <w:t xml:space="preserve">??</w:t>
      </w:r>
      <w:r>
        <w:t xml:space="preserve"> </w:t>
      </w:r>
      <w:r>
        <w:t xml:space="preserve">and result in the effects of Figure</w:t>
      </w:r>
      <w:r>
        <w:t xml:space="preserve"> </w:t>
      </w:r>
      <w:r>
        <w:t xml:space="preserve">2.1</w:t>
      </w:r>
      <w:r>
        <w:t xml:space="preserve">.</w:t>
      </w:r>
    </w:p>
    <w:p>
      <w:pPr>
        <w:pStyle w:val="BodyText"/>
      </w:pPr>
      <w:r>
        <w:drawing>
          <wp:inline>
            <wp:extent cx="5334000" cy="5334000"/>
            <wp:effectExtent b="0" l="0" r="0" t="0"/>
            <wp:docPr descr="Figure 2.1: Linear and quadratic deviations from the base-case scenario of constant relative effect (OR=0.8)" title="" id="1" name="Picture"/>
            <a:graphic>
              <a:graphicData uri="http://schemas.openxmlformats.org/drawingml/2006/picture">
                <pic:pic>
                  <pic:nvPicPr>
                    <pic:cNvPr descr="/home/arekkas/Documents/Projects/arekkas_HteSimulation_XXXX_2021/figures/deviate_linear_08.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fig1)Linear and quadratic deviations from the base-case scenario of constant relative effect (OR=0.8)" title="" id="1" name="Picture"/>
            <a:graphic>
              <a:graphicData uri="http://schemas.openxmlformats.org/drawingml/2006/picture">
                <pic:pic>
                  <pic:nvPicPr>
                    <pic:cNvPr descr="/home/arekkas/Documents/Projects/arekkas_HteSimulation_XXXX_2021/figures/deviate_quadratic_08.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Figure</w:t>
      </w:r>
      <w:r>
        <w:t xml:space="preserve"> </w:t>
      </w:r>
      <w:r>
        <w:t xml:space="preserve">2.3</w:t>
      </w:r>
      <w:r>
        <w:t xml:space="preserve"> </w:t>
      </w:r>
      <w:r>
        <w:t xml:space="preserve">the absolute benefits observed based on different settings are presented. The base-case scenario is also presented as a reference.</w:t>
      </w:r>
    </w:p>
    <w:p>
      <w:pPr>
        <w:pStyle w:val="BodyText"/>
      </w:pPr>
      <w:r>
        <w:drawing>
          <wp:inline>
            <wp:extent cx="5334000" cy="5334000"/>
            <wp:effectExtent b="0" l="0" r="0" t="0"/>
            <wp:docPr descr="Figure 2.3: Linear and quadratic deviations from the base-case scenario of constant relative effect (OR=0.8)" title="" id="1" name="Picture"/>
            <a:graphic>
              <a:graphicData uri="http://schemas.openxmlformats.org/drawingml/2006/picture">
                <pic:pic>
                  <pic:nvPicPr>
                    <pic:cNvPr descr="/home/arekkas/Documents/Projects/arekkas_HteSimulation_XXXX_2021/figures/deviate_linear_absolute_08.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fig2)Linear and quadratic deviations from the base-case scenario of constant relative effect (OR=0.8)" title="" id="1" name="Picture"/>
            <a:graphic>
              <a:graphicData uri="http://schemas.openxmlformats.org/drawingml/2006/picture">
                <pic:pic>
                  <pic:nvPicPr>
                    <pic:cNvPr descr="/home/arekkas/Documents/Projects/arekkas_HteSimulation_XXXX_2021/figures/deviate_quadratic_absolute_08.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Finally, we consider 3 additional scenarios of interaction of individual covariates with treatment. These scenarios include a 4 weak interactions (</w:t>
      </w:r>
      <m:oMath>
        <m:sSub>
          <m:e>
            <m:r>
              <m:rPr>
                <m:nor/>
                <m:sty m:val="p"/>
              </m:rPr>
              <m:t>OR</m:t>
            </m:r>
          </m:e>
          <m:sub>
            <m:sSub>
              <m:e>
                <m:r>
                  <m:t>t</m:t>
                </m:r>
              </m:e>
              <m:sub>
                <m:r>
                  <m:t>x</m:t>
                </m:r>
              </m:sub>
            </m:sSub>
            <m:r>
              <m:t>=</m:t>
            </m:r>
            <m:r>
              <m:t>1</m:t>
            </m:r>
          </m:sub>
        </m:sSub>
        <m:r>
          <m:t>/</m:t>
        </m:r>
        <m:sSub>
          <m:e>
            <m:r>
              <m:rPr>
                <m:nor/>
                <m:sty m:val="p"/>
              </m:rPr>
              <m:t>OR</m:t>
            </m:r>
          </m:e>
          <m:sub>
            <m:sSub>
              <m:e>
                <m:r>
                  <m:t>t</m:t>
                </m:r>
              </m:e>
              <m:sub>
                <m:r>
                  <m:t>x</m:t>
                </m:r>
              </m:sub>
            </m:sSub>
            <m:r>
              <m:t>=</m:t>
            </m:r>
            <m:r>
              <m:t>0</m:t>
            </m:r>
          </m:sub>
        </m:sSub>
        <m:r>
          <m:t>=</m:t>
        </m:r>
        <m:r>
          <m:t>0.82</m:t>
        </m:r>
      </m:oMath>
      <w:r>
        <w:t xml:space="preserve">), 4 strong interactions (</w:t>
      </w:r>
      <m:oMath>
        <m:sSub>
          <m:e>
            <m:r>
              <m:rPr>
                <m:nor/>
                <m:sty m:val="p"/>
              </m:rPr>
              <m:t>OR</m:t>
            </m:r>
          </m:e>
          <m:sub>
            <m:sSub>
              <m:e>
                <m:r>
                  <m:t>t</m:t>
                </m:r>
              </m:e>
              <m:sub>
                <m:r>
                  <m:t>x</m:t>
                </m:r>
              </m:sub>
            </m:sSub>
            <m:r>
              <m:t>=</m:t>
            </m:r>
            <m:r>
              <m:t>1</m:t>
            </m:r>
          </m:sub>
        </m:sSub>
        <m:r>
          <m:t>/</m:t>
        </m:r>
        <m:sSub>
          <m:e>
            <m:r>
              <m:rPr>
                <m:nor/>
                <m:sty m:val="p"/>
              </m:rPr>
              <m:t>OR</m:t>
            </m:r>
          </m:e>
          <m:sub>
            <m:sSub>
              <m:e>
                <m:r>
                  <m:t>t</m:t>
                </m:r>
              </m:e>
              <m:sub>
                <m:r>
                  <m:t>x</m:t>
                </m:r>
              </m:sub>
            </m:sSub>
            <m:r>
              <m:t>=</m:t>
            </m:r>
            <m:r>
              <m:t>0</m:t>
            </m:r>
          </m:sub>
        </m:sSub>
        <m:r>
          <m:t>=</m:t>
        </m:r>
        <m:r>
          <m:t>0.61</m:t>
        </m:r>
      </m:oMath>
      <w:r>
        <w:t xml:space="preserve">), and 2 weak and 2 strong interactions (Table</w:t>
      </w:r>
      <w:r>
        <w:t xml:space="preserve"> </w:t>
      </w:r>
      <w:r>
        <w:t xml:space="preserve">??</w:t>
      </w:r>
      <w:r>
        <w:t xml:space="preserve">).</w:t>
      </w:r>
    </w:p>
    <w:p>
      <w:pPr>
        <w:pStyle w:val="Heading1"/>
      </w:pPr>
      <w:bookmarkStart w:id="28" w:name="risk-modeling"/>
      <w:r>
        <w:t xml:space="preserve">3	Risk modeling</w:t>
      </w:r>
      <w:bookmarkEnd w:id="28"/>
    </w:p>
    <w:p>
      <w:pPr>
        <w:pStyle w:val="FirstParagraph"/>
      </w:pPr>
      <w:r>
        <w:t xml:space="preserve">Merging treatment arms, we develop prediction models including a constant relative treatment effect:</w:t>
      </w:r>
    </w:p>
    <w:p>
      <w:pPr>
        <w:pStyle w:val="BodyText"/>
      </w:pPr>
      <m:oMathPara>
        <m:oMathParaPr>
          <m:jc m:val="center"/>
        </m:oMathParaPr>
        <m:oMath>
          <m:r>
            <m:t>E</m:t>
          </m:r>
          <m:r>
            <m:t>{</m:t>
          </m:r>
          <m:r>
            <m:t>y</m:t>
          </m:r>
          <m:r>
            <m:t> </m:t>
          </m:r>
          <m:r>
            <m:t>|</m:t>
          </m:r>
          <m:r>
            <m:t> </m:t>
          </m:r>
          <m:r>
            <m:t>x</m:t>
          </m:r>
          <m:r>
            <m:t>,</m:t>
          </m:r>
          <m:sSub>
            <m:e>
              <m:r>
                <m:t>t</m:t>
              </m:r>
            </m:e>
            <m:sub>
              <m:r>
                <m:t>x</m:t>
              </m:r>
            </m:sub>
          </m:sSub>
          <m:r>
            <m:t>}</m:t>
          </m:r>
          <m:r>
            <m:t>=</m:t>
          </m:r>
          <m:r>
            <m:t>P</m:t>
          </m:r>
          <m:r>
            <m:t>(</m:t>
          </m:r>
          <m:r>
            <m:t>y</m:t>
          </m:r>
          <m:r>
            <m:t> </m:t>
          </m:r>
          <m:r>
            <m:t>|</m:t>
          </m:r>
          <m:r>
            <m:t> </m:t>
          </m:r>
          <m:r>
            <m:t>x</m:t>
          </m:r>
          <m:r>
            <m:t>,</m:t>
          </m:r>
          <m:sSub>
            <m:e>
              <m:r>
                <m:t>t</m:t>
              </m:r>
            </m:e>
            <m:sub>
              <m:r>
                <m:t>x</m:t>
              </m:r>
            </m:sub>
          </m:sSub>
          <m:r>
            <m:t>)</m:t>
          </m:r>
          <m:r>
            <m:t>=</m:t>
          </m:r>
          <m:r>
            <m:t>g</m:t>
          </m:r>
          <m:r>
            <m:t>(</m:t>
          </m:r>
          <m:sSub>
            <m:e>
              <m:r>
                <m:t>β</m:t>
              </m:r>
            </m:e>
            <m:sub>
              <m:r>
                <m:t>0</m:t>
              </m:r>
            </m:sub>
          </m:sSub>
          <m:r>
            <m:t>+</m:t>
          </m:r>
          <m:sSub>
            <m:e>
              <m:r>
                <m:t>β</m:t>
              </m:r>
            </m:e>
            <m:sub>
              <m:r>
                <m:t>1</m:t>
              </m:r>
            </m:sub>
          </m:sSub>
          <m:sSub>
            <m:e>
              <m:r>
                <m:t>x</m:t>
              </m:r>
            </m:e>
            <m:sub>
              <m:r>
                <m:t>1</m:t>
              </m:r>
            </m:sub>
          </m:sSub>
          <m:r>
            <m:t>+</m:t>
          </m:r>
          <m:r>
            <m:t>…</m:t>
          </m:r>
          <m:r>
            <m:t>+</m:t>
          </m:r>
          <m:sSub>
            <m:e>
              <m:r>
                <m:t>β</m:t>
              </m:r>
            </m:e>
            <m:sub>
              <m:r>
                <m:t>8</m:t>
              </m:r>
            </m:sub>
          </m:sSub>
          <m:sSub>
            <m:e>
              <m:r>
                <m:t>x</m:t>
              </m:r>
            </m:e>
            <m:sub>
              <m:r>
                <m:t>8</m:t>
              </m:r>
            </m:sub>
          </m:sSub>
          <m:r>
            <m:t>+</m:t>
          </m:r>
          <m:r>
            <m:t>γ</m:t>
          </m:r>
          <m:sSub>
            <m:e>
              <m:r>
                <m:t>t</m:t>
              </m:r>
            </m:e>
            <m:sub>
              <m:r>
                <m:t>x</m:t>
              </m:r>
            </m:sub>
          </m:sSub>
          <m:r>
            <m:t>)</m:t>
          </m:r>
        </m:oMath>
      </m:oMathPara>
    </w:p>
    <w:p>
      <w:pPr>
        <w:pStyle w:val="FirstParagraph"/>
      </w:pPr>
      <w:r>
        <w:t xml:space="preserve">(#eq:risk)</w:t>
      </w:r>
      <w:r>
        <w:t xml:space="preserve"> </w:t>
      </w:r>
      <w:r>
        <w:t xml:space="preserve">Individualized predictions are derived setting</w:t>
      </w:r>
      <w:r>
        <w:t xml:space="preserve"> </w:t>
      </w:r>
      <m:oMath>
        <m:sSub>
          <m:e>
            <m:r>
              <m:t>t</m:t>
            </m:r>
          </m:e>
          <m:sub>
            <m:r>
              <m:t>x</m:t>
            </m:r>
          </m:sub>
        </m:sSub>
        <m:r>
          <m:t>=</m:t>
        </m:r>
        <m:r>
          <m:t>0</m:t>
        </m:r>
      </m:oMath>
      <w:r>
        <w:t xml:space="preserve">.</w:t>
      </w:r>
    </w:p>
    <w:p>
      <w:pPr>
        <w:pStyle w:val="Heading1"/>
      </w:pPr>
      <w:bookmarkStart w:id="29" w:name="X09bc763900764e4925c73ca15cd0b7d4a6e1e0e"/>
      <w:r>
        <w:t xml:space="preserve">4	Approaches to individualize benefit predictions</w:t>
      </w:r>
      <w:bookmarkEnd w:id="29"/>
    </w:p>
    <w:p>
      <w:pPr>
        <w:pStyle w:val="Heading2"/>
      </w:pPr>
      <w:bookmarkStart w:id="30" w:name="risk-stratification"/>
      <w:r>
        <w:t xml:space="preserve">4.1	Risk stratification</w:t>
      </w:r>
      <w:bookmarkEnd w:id="30"/>
    </w:p>
    <w:p>
      <w:pPr>
        <w:pStyle w:val="FirstParagraph"/>
      </w:pPr>
      <w:r>
        <w:t xml:space="preserve">Derive a prediction model using the same approach as above and divide the population in equally sized risk-based subgroups. Estimate subgroup-specific absolute benefit from the observed absolute differences. Subject-specific benefit predictions are made by attributing to individuals their corresponding subgroup-specific estimate.</w:t>
      </w:r>
    </w:p>
    <w:p>
      <w:pPr>
        <w:pStyle w:val="Heading2"/>
      </w:pPr>
      <w:bookmarkStart w:id="31" w:name="constant-treatment-effect"/>
      <w:r>
        <w:t xml:space="preserve">4.2	Constant treatment effect</w:t>
      </w:r>
      <w:bookmarkEnd w:id="31"/>
    </w:p>
    <w:p>
      <w:pPr>
        <w:pStyle w:val="FirstParagraph"/>
      </w:pPr>
      <w:r>
        <w:t xml:space="preserve">Assuming a constant relative treatment effect, fit the adjusted model in (3.1). Then, an estimate of absolute benefit can be derived from</w:t>
      </w:r>
    </w:p>
    <w:p>
      <w:pPr>
        <w:pStyle w:val="BodyText"/>
      </w:pPr>
      <m:oMathPara>
        <m:oMathParaPr>
          <m:jc m:val="center"/>
        </m:oMathParaPr>
        <m:oMath>
          <m:sSub>
            <m:e>
              <m:acc>
                <m:accPr>
                  <m:chr m:val="̂"/>
                </m:accPr>
                <m:e>
                  <m:r>
                    <m:t>f</m:t>
                  </m:r>
                </m:e>
              </m:acc>
            </m:e>
            <m:sub>
              <m:r>
                <m:rPr>
                  <m:nor/>
                  <m:sty m:val="p"/>
                </m:rPr>
                <m:t>benefit</m:t>
              </m:r>
            </m:sub>
          </m:sSub>
          <m:r>
            <m:t>(</m:t>
          </m:r>
          <m:r>
            <m:t>l</m:t>
          </m:r>
          <m:r>
            <m:t>p</m:t>
          </m:r>
          <m:r>
            <m:t> </m:t>
          </m:r>
          <m:r>
            <m:t>|</m:t>
          </m:r>
          <m:r>
            <m:t> </m:t>
          </m:r>
          <m:r>
            <m:rPr>
              <m:sty m:val="b"/>
            </m:rPr>
            <m:t>x</m:t>
          </m:r>
          <m:r>
            <m:t>,</m:t>
          </m:r>
          <m:acc>
            <m:accPr>
              <m:chr m:val="̂"/>
            </m:accPr>
            <m:e>
              <m:r>
                <m:rPr>
                  <m:sty m:val="b"/>
                </m:rPr>
                <m:t>β</m:t>
              </m:r>
            </m:e>
          </m:acc>
          <m:r>
            <m:t>)</m:t>
          </m:r>
          <m:r>
            <m:t>=</m:t>
          </m:r>
          <m:r>
            <m:t>g</m:t>
          </m:r>
          <m:r>
            <m:t>(</m:t>
          </m:r>
          <m:r>
            <m:t>l</m:t>
          </m:r>
          <m:r>
            <m:t>p</m:t>
          </m:r>
          <m:r>
            <m:t>)</m:t>
          </m:r>
          <m:r>
            <m:t>−</m:t>
          </m:r>
          <m:r>
            <m:t>g</m:t>
          </m:r>
          <m:r>
            <m:t>(</m:t>
          </m:r>
          <m:r>
            <m:t>l</m:t>
          </m:r>
          <m:r>
            <m:t>p</m:t>
          </m:r>
          <m:r>
            <m:t>+</m:t>
          </m:r>
          <m:acc>
            <m:accPr>
              <m:chr m:val="̂"/>
            </m:accPr>
            <m:e>
              <m:r>
                <m:t>γ</m:t>
              </m:r>
            </m:e>
          </m:acc>
          <m:r>
            <m:t>)</m:t>
          </m:r>
        </m:oMath>
      </m:oMathPara>
    </w:p>
    <w:p>
      <w:pPr>
        <w:pStyle w:val="Heading2"/>
      </w:pPr>
      <w:bookmarkStart w:id="32" w:name="linear-interaction"/>
      <w:r>
        <w:t xml:space="preserve">4.3	Linear interaction</w:t>
      </w:r>
      <w:bookmarkEnd w:id="32"/>
    </w:p>
    <w:p>
      <w:pPr>
        <w:pStyle w:val="FirstParagraph"/>
      </w:pPr>
      <w:r>
        <w:t xml:space="preserve">The assumption of constant relative treatment effect is relaxed modeling a linear interaction of treatment with the risk linear predictor:</w:t>
      </w:r>
    </w:p>
    <w:p>
      <w:pPr>
        <w:pStyle w:val="BodyText"/>
      </w:pPr>
      <m:oMathPara>
        <m:oMathParaPr>
          <m:jc m:val="center"/>
        </m:oMathParaPr>
        <m:oMath>
          <m:r>
            <m:t>E</m:t>
          </m:r>
          <m:r>
            <m:t>{</m:t>
          </m:r>
          <m:r>
            <m:t>y</m:t>
          </m:r>
          <m:r>
            <m:t> </m:t>
          </m:r>
          <m:r>
            <m:t>|</m:t>
          </m:r>
          <m:r>
            <m:t> </m:t>
          </m:r>
          <m:r>
            <m:rPr>
              <m:sty m:val="b"/>
            </m:rPr>
            <m:t>x</m:t>
          </m:r>
          <m:r>
            <m:t>,</m:t>
          </m:r>
          <m:sSub>
            <m:e>
              <m:r>
                <m:t>t</m:t>
              </m:r>
            </m:e>
            <m:sub>
              <m:r>
                <m:t>x</m:t>
              </m:r>
            </m:sub>
          </m:sSub>
          <m:r>
            <m:t>,</m:t>
          </m:r>
          <m:acc>
            <m:accPr>
              <m:chr m:val="̂"/>
            </m:accPr>
            <m:e>
              <m:r>
                <m:rPr>
                  <m:sty m:val="b"/>
                </m:rPr>
                <m:t>β</m:t>
              </m:r>
            </m:e>
          </m:acc>
          <m:r>
            <m:t>}</m:t>
          </m:r>
          <m:r>
            <m:t>=</m:t>
          </m:r>
          <m:r>
            <m:t>g</m:t>
          </m:r>
          <m:r>
            <m:t>(</m:t>
          </m:r>
          <m:r>
            <m:t>l</m:t>
          </m:r>
          <m:r>
            <m:t>p</m:t>
          </m:r>
          <m:r>
            <m:t>+</m:t>
          </m:r>
          <m:r>
            <m:t>(</m:t>
          </m:r>
          <m:sSub>
            <m:e>
              <m:r>
                <m:t>δ</m:t>
              </m:r>
            </m:e>
            <m:sub>
              <m:r>
                <m:t>0</m:t>
              </m:r>
            </m:sub>
          </m:sSub>
          <m:r>
            <m:t>+</m:t>
          </m:r>
          <m:sSub>
            <m:e>
              <m:r>
                <m:t>δ</m:t>
              </m:r>
            </m:e>
            <m:sub>
              <m:r>
                <m:t>1</m:t>
              </m:r>
            </m:sub>
          </m:sSub>
          <m:r>
            <m:t>l</m:t>
          </m:r>
          <m:r>
            <m:t>p</m:t>
          </m:r>
          <m:r>
            <m:t>)</m:t>
          </m:r>
          <m:sSub>
            <m:e>
              <m:r>
                <m:t>t</m:t>
              </m:r>
            </m:e>
            <m:sub>
              <m:r>
                <m:t>x</m:t>
              </m:r>
            </m:sub>
          </m:sSub>
          <m:r>
            <m:t>)</m:t>
          </m:r>
        </m:oMath>
      </m:oMathPara>
    </w:p>
    <w:p>
      <w:pPr>
        <w:pStyle w:val="FirstParagraph"/>
      </w:pPr>
      <w:r>
        <w:t xml:space="preserve">We predict absolute benefit from</w:t>
      </w:r>
    </w:p>
    <w:p>
      <w:pPr>
        <w:pStyle w:val="BodyText"/>
      </w:pPr>
      <m:oMathPara>
        <m:oMathParaPr>
          <m:jc m:val="center"/>
        </m:oMathParaPr>
        <m:oMath>
          <m:sSub>
            <m:e>
              <m:acc>
                <m:accPr>
                  <m:chr m:val="̂"/>
                </m:accPr>
                <m:e>
                  <m:r>
                    <m:t>f</m:t>
                  </m:r>
                </m:e>
              </m:acc>
            </m:e>
            <m:sub>
              <m:r>
                <m:rPr>
                  <m:nor/>
                  <m:sty m:val="p"/>
                </m:rPr>
                <m:t>benefit</m:t>
              </m:r>
            </m:sub>
          </m:sSub>
          <m:r>
            <m:t>(</m:t>
          </m:r>
          <m:r>
            <m:t>l</m:t>
          </m:r>
          <m:r>
            <m:t>p</m:t>
          </m:r>
          <m:r>
            <m:t> </m:t>
          </m:r>
          <m:r>
            <m:t>|</m:t>
          </m:r>
          <m:r>
            <m:t> </m:t>
          </m:r>
          <m:r>
            <m:rPr>
              <m:sty m:val="b"/>
            </m:rPr>
            <m:t>x</m:t>
          </m:r>
          <m:r>
            <m:t>,</m:t>
          </m:r>
          <m:acc>
            <m:accPr>
              <m:chr m:val="̂"/>
            </m:accPr>
            <m:e>
              <m:r>
                <m:rPr>
                  <m:sty m:val="b"/>
                </m:rPr>
                <m:t>β</m:t>
              </m:r>
            </m:e>
          </m:acc>
          <m:r>
            <m:t>)</m:t>
          </m:r>
          <m:r>
            <m:t>=</m:t>
          </m:r>
          <m:r>
            <m:t>g</m:t>
          </m:r>
          <m:r>
            <m:t>(</m:t>
          </m:r>
          <m:r>
            <m:t>l</m:t>
          </m:r>
          <m:r>
            <m:t>p</m:t>
          </m:r>
          <m:r>
            <m:t>)</m:t>
          </m:r>
          <m:r>
            <m:t>−</m:t>
          </m:r>
          <m:r>
            <m:t>g</m:t>
          </m:r>
          <m:r>
            <m:t>(</m:t>
          </m:r>
          <m:sSub>
            <m:e>
              <m:r>
                <m:t>δ</m:t>
              </m:r>
            </m:e>
            <m:sub>
              <m:r>
                <m:t>0</m:t>
              </m:r>
            </m:sub>
          </m:sSub>
          <m:r>
            <m:t>+</m:t>
          </m:r>
          <m:r>
            <m:t>(</m:t>
          </m:r>
          <m:r>
            <m:t>1</m:t>
          </m:r>
          <m:r>
            <m:t>+</m:t>
          </m:r>
          <m:sSub>
            <m:e>
              <m:r>
                <m:t>δ</m:t>
              </m:r>
            </m:e>
            <m:sub>
              <m:r>
                <m:t>1</m:t>
              </m:r>
            </m:sub>
          </m:sSub>
          <m:r>
            <m:t>)</m:t>
          </m:r>
          <m:r>
            <m:t>l</m:t>
          </m:r>
          <m:r>
            <m:t>p</m:t>
          </m:r>
          <m:r>
            <m:t>)</m:t>
          </m:r>
        </m:oMath>
      </m:oMathPara>
    </w:p>
    <w:p>
      <w:pPr>
        <w:pStyle w:val="Heading2"/>
      </w:pPr>
      <w:bookmarkStart w:id="33" w:name="non-linear-interaction"/>
      <w:r>
        <w:t xml:space="preserve">4.4	Non-linear interaction</w:t>
      </w:r>
      <w:bookmarkEnd w:id="33"/>
    </w:p>
    <w:p>
      <w:pPr>
        <w:pStyle w:val="FirstParagraph"/>
      </w:pPr>
      <w:r>
        <w:t xml:space="preserve">Finally, we drop the linearity assumption and predict absolute benefit by taking the difference between smooth fits, separately derived in each treatment arm:</w:t>
      </w:r>
    </w:p>
    <w:p>
      <w:pPr>
        <w:pStyle w:val="BodyText"/>
      </w:pPr>
      <m:oMathPara>
        <m:oMathParaPr>
          <m:jc m:val="center"/>
        </m:oMathParaPr>
        <m:oMath>
          <m:sSub>
            <m:e>
              <m:r>
                <m:t>f</m:t>
              </m:r>
            </m:e>
            <m:sub>
              <m:r>
                <m:rPr>
                  <m:nor/>
                  <m:sty m:val="p"/>
                </m:rPr>
                <m:t>benefit</m:t>
              </m:r>
            </m:sub>
          </m:sSub>
          <m:r>
            <m:t>(</m:t>
          </m:r>
          <m:r>
            <m:t>l</m:t>
          </m:r>
          <m:r>
            <m:t>p</m:t>
          </m:r>
          <m:r>
            <m:t> </m:t>
          </m:r>
          <m:r>
            <m:t>|</m:t>
          </m:r>
          <m:r>
            <m:t> </m:t>
          </m:r>
          <m:r>
            <m:rPr>
              <m:sty m:val="b"/>
            </m:rPr>
            <m:t>x</m:t>
          </m:r>
          <m:r>
            <m:t>,</m:t>
          </m:r>
          <m:acc>
            <m:accPr>
              <m:chr m:val="̂"/>
            </m:accPr>
            <m:e>
              <m:r>
                <m:rPr>
                  <m:sty m:val="b"/>
                </m:rPr>
                <m:t>β</m:t>
              </m:r>
            </m:e>
          </m:acc>
          <m:r>
            <m:t>)</m:t>
          </m:r>
          <m:r>
            <m:t>=</m:t>
          </m:r>
          <m:sSub>
            <m:e>
              <m:acc>
                <m:accPr>
                  <m:chr m:val="̂"/>
                </m:accPr>
                <m:e>
                  <m:r>
                    <m:t>f</m:t>
                  </m:r>
                </m:e>
              </m:acc>
            </m:e>
            <m:sub>
              <m:r>
                <m:rPr>
                  <m:nor/>
                  <m:sty m:val="p"/>
                </m:rPr>
                <m:t>smooth</m:t>
              </m:r>
            </m:sub>
          </m:sSub>
          <m:r>
            <m:t>(</m:t>
          </m:r>
          <m:r>
            <m:t>l</m:t>
          </m:r>
          <m:r>
            <m:t>p</m:t>
          </m:r>
          <m:r>
            <m:t> </m:t>
          </m:r>
          <m:r>
            <m:t>|</m:t>
          </m:r>
          <m:r>
            <m:t> </m:t>
          </m:r>
          <m:r>
            <m:rPr>
              <m:sty m:val="b"/>
            </m:rPr>
            <m:t>x</m:t>
          </m:r>
          <m:r>
            <m:t>,</m:t>
          </m:r>
          <m:acc>
            <m:accPr>
              <m:chr m:val="̂"/>
            </m:accPr>
            <m:e>
              <m:r>
                <m:rPr>
                  <m:sty m:val="b"/>
                </m:rPr>
                <m:t>β</m:t>
              </m:r>
            </m:e>
          </m:acc>
          <m:r>
            <m:t>,</m:t>
          </m:r>
          <m:sSub>
            <m:e>
              <m:r>
                <m:t>t</m:t>
              </m:r>
            </m:e>
            <m:sub>
              <m:r>
                <m:t>x</m:t>
              </m:r>
            </m:sub>
          </m:sSub>
          <m:r>
            <m:t>=</m:t>
          </m:r>
          <m:r>
            <m:t>0</m:t>
          </m:r>
          <m:r>
            <m:t>)</m:t>
          </m:r>
          <m:r>
            <m:t>−</m:t>
          </m:r>
          <m:sSub>
            <m:e>
              <m:acc>
                <m:accPr>
                  <m:chr m:val="̂"/>
                </m:accPr>
                <m:e>
                  <m:r>
                    <m:t>f</m:t>
                  </m:r>
                </m:e>
              </m:acc>
            </m:e>
            <m:sub>
              <m:r>
                <m:rPr>
                  <m:nor/>
                  <m:sty m:val="p"/>
                </m:rPr>
                <m:t>smooth</m:t>
              </m:r>
            </m:sub>
          </m:sSub>
          <m:r>
            <m:t>(</m:t>
          </m:r>
          <m:r>
            <m:t>l</m:t>
          </m:r>
          <m:r>
            <m:t>p</m:t>
          </m:r>
          <m:r>
            <m:t> </m:t>
          </m:r>
          <m:r>
            <m:t>|</m:t>
          </m:r>
          <m:r>
            <m:t> </m:t>
          </m:r>
          <m:r>
            <m:rPr>
              <m:sty m:val="b"/>
            </m:rPr>
            <m:t>x</m:t>
          </m:r>
          <m:r>
            <m:t>,</m:t>
          </m:r>
          <m:acc>
            <m:accPr>
              <m:chr m:val="̂"/>
            </m:accPr>
            <m:e>
              <m:r>
                <m:rPr>
                  <m:sty m:val="b"/>
                </m:rPr>
                <m:t>β</m:t>
              </m:r>
            </m:e>
          </m:acc>
          <m:r>
            <m:t>,</m:t>
          </m:r>
          <m:sSub>
            <m:e>
              <m:r>
                <m:t>t</m:t>
              </m:r>
            </m:e>
            <m:sub>
              <m:r>
                <m:t>x</m:t>
              </m:r>
            </m:sub>
          </m:sSub>
          <m:r>
            <m:t>=</m:t>
          </m:r>
          <m:r>
            <m:t>1</m:t>
          </m:r>
          <m:r>
            <m:t>)</m:t>
          </m:r>
        </m:oMath>
      </m:oMathPara>
    </w:p>
    <w:p>
      <w:pPr>
        <w:pStyle w:val="FirstParagraph"/>
      </w:pPr>
      <w:r>
        <w:t xml:space="preserve">We consider three different approaches to smoothing:</w:t>
      </w:r>
    </w:p>
    <w:p>
      <w:pPr>
        <w:numPr>
          <w:ilvl w:val="0"/>
          <w:numId w:val="1005"/>
        </w:numPr>
        <w:pStyle w:val="Compact"/>
      </w:pPr>
      <w:r>
        <w:t xml:space="preserve">Loess</w:t>
      </w:r>
    </w:p>
    <w:p>
      <w:pPr>
        <w:numPr>
          <w:ilvl w:val="0"/>
          <w:numId w:val="1005"/>
        </w:numPr>
        <w:pStyle w:val="Compact"/>
      </w:pPr>
      <w:r>
        <w:t xml:space="preserve">Restricted cubic splines</w:t>
      </w:r>
    </w:p>
    <w:p>
      <w:pPr>
        <w:numPr>
          <w:ilvl w:val="0"/>
          <w:numId w:val="1005"/>
        </w:numPr>
        <w:pStyle w:val="Compact"/>
      </w:pPr>
      <w:r>
        <w:t xml:space="preserve">Local likelihood</w:t>
      </w:r>
    </w:p>
    <w:p>
      <w:pPr>
        <w:pStyle w:val="Heading1"/>
      </w:pPr>
      <w:bookmarkStart w:id="34" w:name="evaluation"/>
      <w:r>
        <w:t xml:space="preserve">5	Evaluation</w:t>
      </w:r>
      <w:bookmarkEnd w:id="34"/>
    </w:p>
    <w:p>
      <w:pPr>
        <w:pStyle w:val="FirstParagraph"/>
      </w:pPr>
      <w:r>
        <w:t xml:space="preserve">Assuming that</w:t>
      </w:r>
      <w:r>
        <w:t xml:space="preserve"> </w:t>
      </w:r>
      <m:oMath>
        <m:r>
          <m:t>τ</m:t>
        </m:r>
        <m:r>
          <m:t>(</m:t>
        </m:r>
        <m:r>
          <m:rPr>
            <m:sty m:val="b"/>
          </m:rPr>
          <m:t>x</m:t>
        </m:r>
        <m:r>
          <m:t>)</m:t>
        </m:r>
        <m:r>
          <m:t>=</m:t>
        </m:r>
        <m:r>
          <m:t>E</m:t>
        </m:r>
        <m:r>
          <m:t>{</m:t>
        </m:r>
        <m:r>
          <m:t>y</m:t>
        </m:r>
        <m:r>
          <m:t> </m:t>
        </m:r>
        <m:r>
          <m:t>|</m:t>
        </m:r>
        <m:r>
          <m:t> </m:t>
        </m:r>
        <m:r>
          <m:rPr>
            <m:sty m:val="b"/>
          </m:rPr>
          <m:t>x</m:t>
        </m:r>
        <m:r>
          <m:t>,</m:t>
        </m:r>
        <m:sSub>
          <m:e>
            <m:r>
              <m:t>t</m:t>
            </m:r>
          </m:e>
          <m:sub>
            <m:r>
              <m:t>x</m:t>
            </m:r>
          </m:sub>
        </m:sSub>
        <m:r>
          <m:t>=</m:t>
        </m:r>
        <m:r>
          <m:t>0</m:t>
        </m:r>
        <m:r>
          <m:t>}</m:t>
        </m:r>
        <m:r>
          <m:t>−</m:t>
        </m:r>
        <m:r>
          <m:t>E</m:t>
        </m:r>
        <m:r>
          <m:t>{</m:t>
        </m:r>
        <m:r>
          <m:t>y</m:t>
        </m:r>
        <m:r>
          <m:t> </m:t>
        </m:r>
        <m:r>
          <m:t>|</m:t>
        </m:r>
        <m:r>
          <m:t> </m:t>
        </m:r>
        <m:r>
          <m:rPr>
            <m:sty m:val="b"/>
          </m:rPr>
          <m:t>x</m:t>
        </m:r>
        <m:r>
          <m:t>,</m:t>
        </m:r>
        <m:sSub>
          <m:e>
            <m:r>
              <m:t>t</m:t>
            </m:r>
          </m:e>
          <m:sub>
            <m:r>
              <m:t>x</m:t>
            </m:r>
          </m:sub>
        </m:sSub>
        <m:r>
          <m:t>=</m:t>
        </m:r>
        <m:r>
          <m:t>1</m:t>
        </m:r>
        <m:r>
          <m:t>}</m:t>
        </m:r>
      </m:oMath>
      <w:r>
        <w:t xml:space="preserve"> </w:t>
      </w:r>
      <w:r>
        <w:t xml:space="preserve">is the true benefit for each patient and</w:t>
      </w:r>
      <w:r>
        <w:t xml:space="preserve"> </w:t>
      </w:r>
      <m:oMath>
        <m:acc>
          <m:accPr>
            <m:chr m:val="̂"/>
          </m:accPr>
          <m:e>
            <m:r>
              <m:t>τ</m:t>
            </m:r>
          </m:e>
        </m:acc>
        <m:r>
          <m:t>(</m:t>
        </m:r>
        <m:r>
          <m:t>x</m:t>
        </m:r>
        <m:r>
          <m:t>)</m:t>
        </m:r>
      </m:oMath>
      <w:r>
        <w:t xml:space="preserve"> </w:t>
      </w:r>
      <w:r>
        <w:t xml:space="preserve">is the estimated benefit from a method under study, the ideal loss function to use for the considered methods would be the unobservable root mean squared error</w:t>
      </w:r>
      <w:r>
        <w:t xml:space="preserve"> </w:t>
      </w:r>
      <m:oMath>
        <m:r>
          <m:t>E</m:t>
        </m:r>
        <m:r>
          <m:t>{</m:t>
        </m:r>
        <m:r>
          <m:t>(</m:t>
        </m:r>
        <m:acc>
          <m:accPr>
            <m:chr m:val="̂"/>
          </m:accPr>
          <m:e>
            <m:r>
              <m:t>τ</m:t>
            </m:r>
          </m:e>
        </m:acc>
        <m:r>
          <m:t>−</m:t>
        </m:r>
        <m:r>
          <m:t>τ</m:t>
        </m:r>
        <m:sSup>
          <m:e>
            <m:r>
              <m:t>)</m:t>
            </m:r>
          </m:e>
          <m:sup>
            <m:r>
              <m:t>2</m:t>
            </m:r>
          </m:sup>
        </m:sSup>
        <m:r>
          <m:t> </m:t>
        </m:r>
        <m:r>
          <m:t>|</m:t>
        </m:r>
        <m:r>
          <m:t> </m:t>
        </m:r>
        <m:r>
          <m:rPr>
            <m:sty m:val="b"/>
          </m:rPr>
          <m:t>x</m:t>
        </m:r>
        <m:r>
          <m:t>}</m:t>
        </m:r>
      </m:oMath>
      <w:r>
        <w:t xml:space="preserve">. However, in simulations the true patient-level benefit is available. Therefore, we will estimate the RMSE from</w:t>
      </w:r>
    </w:p>
    <w:p>
      <w:pPr>
        <w:pStyle w:val="BodyText"/>
      </w:pPr>
      <m:oMathPara>
        <m:oMathParaPr>
          <m:jc m:val="center"/>
        </m:oMathParaPr>
        <m:oMath>
          <m:r>
            <m:rPr>
              <m:nor/>
              <m:sty m:val="p"/>
            </m:rPr>
            <m:t>RMSE</m:t>
          </m:r>
          <m:r>
            <m:t>=</m:t>
          </m:r>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oMath>
      </m:oMathPara>
    </w:p>
    <w:p>
      <w:pPr>
        <w:pStyle w:val="FirstParagraph"/>
      </w:pPr>
      <w:r>
        <w:t xml:space="preserve">We also compare the predictive performance of the methods under study. We assess</w:t>
      </w:r>
      <w:r>
        <w:t xml:space="preserve"> </w:t>
      </w:r>
      <w:r>
        <w:t xml:space="preserve">discrimination using the c-for-benefit statistic described in</w:t>
      </w:r>
      <w:r>
        <w:t xml:space="preserve"> </w:t>
      </w:r>
      <w:r>
        <w:t xml:space="preserve">[1]</w:t>
      </w:r>
      <w:r>
        <w:t xml:space="preserve">. Patients in each treatment arm are ranked based on their</w:t>
      </w:r>
      <w:r>
        <w:t xml:space="preserve"> </w:t>
      </w:r>
      <w:r>
        <w:t xml:space="preserve">predicted benefit and then are matched 1:1, dropping patients in the larger</w:t>
      </w:r>
      <w:r>
        <w:t xml:space="preserve"> </w:t>
      </w:r>
      <w:r>
        <w:t xml:space="preserve">treatment arm without a pair. We define</w:t>
      </w:r>
      <w:r>
        <w:t xml:space="preserve"> </w:t>
      </w:r>
      <w:r>
        <w:rPr>
          <w:i/>
        </w:rPr>
        <w:t xml:space="preserve">observed</w:t>
      </w:r>
      <w:r>
        <w:t xml:space="preserve"> </w:t>
      </w:r>
      <w:r>
        <w:t xml:space="preserve">pair-specific treatment</w:t>
      </w:r>
      <w:r>
        <w:t xml:space="preserve"> </w:t>
      </w:r>
      <w:r>
        <w:t xml:space="preserve">benefit as the difference of observed outcomes between the untreated and the</w:t>
      </w:r>
      <w:r>
        <w:t xml:space="preserve"> </w:t>
      </w:r>
      <w:r>
        <w:t xml:space="preserve">treated patient of each pair. Pair-specific</w:t>
      </w:r>
      <w:r>
        <w:t xml:space="preserve"> </w:t>
      </w:r>
      <w:r>
        <w:rPr>
          <w:i/>
        </w:rPr>
        <w:t xml:space="preserve">predicted</w:t>
      </w:r>
      <w:r>
        <w:t xml:space="preserve"> </w:t>
      </w:r>
      <w:r>
        <w:t xml:space="preserve">benefit is defined as</w:t>
      </w:r>
      <w:r>
        <w:t xml:space="preserve"> </w:t>
      </w:r>
      <w:r>
        <w:t xml:space="preserve">the average of predicted benefits within each pair. Then, c-for-benefit is</w:t>
      </w:r>
      <w:r>
        <w:t xml:space="preserve"> </w:t>
      </w:r>
      <w:r>
        <w:t xml:space="preserve">defined as the probability that from two randomly chosen matched patient pairs</w:t>
      </w:r>
      <w:r>
        <w:t xml:space="preserve"> </w:t>
      </w:r>
      <w:r>
        <w:t xml:space="preserve">with unequal observed benefit, the pair with greater observed benefit also has a</w:t>
      </w:r>
      <w:r>
        <w:t xml:space="preserve"> </w:t>
      </w:r>
      <w:r>
        <w:t xml:space="preserve">higher predicted benefit.</w:t>
      </w:r>
    </w:p>
    <w:p>
      <w:pPr>
        <w:pStyle w:val="BodyText"/>
      </w:pPr>
      <w:r>
        <w:t xml:space="preserve">We evaluate calibration in a similar manner, using the integrated calibration</w:t>
      </w:r>
      <w:r>
        <w:t xml:space="preserve"> </w:t>
      </w:r>
      <w:r>
        <w:t xml:space="preserve">index (ICI) for benefit</w:t>
      </w:r>
      <w:r>
        <w:t xml:space="preserve"> </w:t>
      </w:r>
      <w:r>
        <w:t xml:space="preserve">[2]</w:t>
      </w:r>
      <w:r>
        <w:t xml:space="preserve">. After creating pairs based on predicted</w:t>
      </w:r>
      <w:r>
        <w:t xml:space="preserve"> </w:t>
      </w:r>
      <w:r>
        <w:t xml:space="preserve">benefit, observed benefits are regressed on the predicted benefits using a</w:t>
      </w:r>
      <w:r>
        <w:t xml:space="preserve"> </w:t>
      </w:r>
      <w:r>
        <w:t xml:space="preserve">locally weighted scatterplot smoother (loess). The ICI is the area between the</w:t>
      </w:r>
      <w:r>
        <w:t xml:space="preserve"> </w:t>
      </w:r>
      <w:r>
        <w:t xml:space="preserve">loess fit and the diagonal, with values closer to</w:t>
      </w:r>
      <w:r>
        <w:t xml:space="preserve"> </w:t>
      </w:r>
      <m:oMath>
        <m:r>
          <m:t>0</m:t>
        </m:r>
      </m:oMath>
      <w:r>
        <w:t xml:space="preserve"> </w:t>
      </w:r>
      <w:r>
        <w:t xml:space="preserve">indicating better</w:t>
      </w:r>
      <w:r>
        <w:t xml:space="preserve"> </w:t>
      </w:r>
      <w:r>
        <w:t xml:space="preserve">calibration.</w:t>
      </w:r>
    </w:p>
    <w:p>
      <w:pPr>
        <w:pStyle w:val="BodyText"/>
      </w:pPr>
      <w:r>
        <w:t xml:space="preserve">In all cases, the evaluation metrics are calculated in a large simulated</w:t>
      </w:r>
      <w:r>
        <w:t xml:space="preserve"> </w:t>
      </w:r>
      <w:r>
        <w:t xml:space="preserve">super-population of 500,000 patients.</w:t>
      </w:r>
    </w:p>
    <w:p>
      <w:pPr>
        <w:pStyle w:val="Heading1"/>
      </w:pPr>
      <w:bookmarkStart w:id="35" w:name="references"/>
      <w:r>
        <w:t xml:space="preserve">6	References</w:t>
      </w:r>
      <w:bookmarkEnd w:id="35"/>
    </w:p>
    <w:p>
      <w:pPr>
        <w:pStyle w:val="FirstParagraph"/>
      </w:pPr>
    </w:p>
    <w:bookmarkStart w:id="40" w:name="refs"/>
    <w:bookmarkStart w:id="37" w:name="ref-vanKlaveren2018"/>
    <w:p>
      <w:pPr>
        <w:pStyle w:val="Bibliography"/>
      </w:pPr>
      <w:r>
        <w:t xml:space="preserve">1 Klaveren D van, Steyerberg EW, Serruys PW</w:t>
      </w:r>
      <w:r>
        <w:t xml:space="preserve"> </w:t>
      </w:r>
      <w:r>
        <w:rPr>
          <w:i/>
        </w:rPr>
        <w:t xml:space="preserve">et al.</w:t>
      </w:r>
      <w:r>
        <w:t xml:space="preserve"> </w:t>
      </w:r>
      <w:r>
        <w:t xml:space="preserve">The proposed “concordance-statistic for benefit” provided a useful metric when modeling heterogeneous treatment effects.</w:t>
      </w:r>
      <w:r>
        <w:t xml:space="preserve"> </w:t>
      </w:r>
      <w:r>
        <w:rPr>
          <w:i/>
        </w:rPr>
        <w:t xml:space="preserve">Journal of Clinical Epidemiology</w:t>
      </w:r>
      <w:r>
        <w:t xml:space="preserve"> </w:t>
      </w:r>
      <w:r>
        <w:t xml:space="preserve">2018;</w:t>
      </w:r>
      <w:r>
        <w:rPr>
          <w:b/>
        </w:rPr>
        <w:t xml:space="preserve">94</w:t>
      </w:r>
      <w:r>
        <w:t xml:space="preserve">:59–68. doi:</w:t>
      </w:r>
      <w:hyperlink r:id="rId36">
        <w:r>
          <w:rPr>
            <w:rStyle w:val="Hyperlink"/>
          </w:rPr>
          <w:t xml:space="preserve">10.1016/j.jclinepi.2017.10.021</w:t>
        </w:r>
      </w:hyperlink>
    </w:p>
    <w:bookmarkEnd w:id="37"/>
    <w:bookmarkStart w:id="39" w:name="ref-Austin2019"/>
    <w:p>
      <w:pPr>
        <w:pStyle w:val="Bibliography"/>
      </w:pPr>
      <w:r>
        <w:t xml:space="preserve">2 Austin PC, Steyerberg EW. The integrated calibration index (ICI) and related metrics for quantifying the calibration of logistic regression models.</w:t>
      </w:r>
      <w:r>
        <w:t xml:space="preserve"> </w:t>
      </w:r>
      <w:r>
        <w:rPr>
          <w:i/>
        </w:rPr>
        <w:t xml:space="preserve">Statistics in Medicine</w:t>
      </w:r>
      <w:r>
        <w:t xml:space="preserve"> </w:t>
      </w:r>
      <w:r>
        <w:t xml:space="preserve">2019;</w:t>
      </w:r>
      <w:r>
        <w:rPr>
          <w:b/>
        </w:rPr>
        <w:t xml:space="preserve">38</w:t>
      </w:r>
      <w:r>
        <w:t xml:space="preserve">:4051–65. doi:</w:t>
      </w:r>
      <w:hyperlink r:id="rId38">
        <w:r>
          <w:rPr>
            <w:rStyle w:val="Hyperlink"/>
          </w:rPr>
          <w:t xml:space="preserve">10.1002/sim.8281</w:t>
        </w:r>
      </w:hyperlink>
    </w:p>
    <w:bookmarkEnd w:id="39"/>
    <w:bookmarkEnd w:id="40"/>
    <w:p>
      <w:pPr>
        <w:pStyle w:val="BodyText"/>
      </w:pPr>
    </w:p>
    <w:p>
      <w:r>
        <w:br w:type="page"/>
      </w:r>
    </w:p>
    <w:p>
      <w:pPr>
        <w:pStyle w:val="Heading1"/>
      </w:pPr>
      <w:bookmarkStart w:id="41" w:name="supplement"/>
      <w:r>
        <w:t xml:space="preserve">7	Supplement</w:t>
      </w:r>
      <w:bookmarkEnd w:id="41"/>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38" Target="https://doi.org/10.1002/sim.8281" TargetMode="External" /><Relationship Type="http://schemas.openxmlformats.org/officeDocument/2006/relationships/hyperlink" Id="rId36" Target="https://doi.org/10.1016/j.jclinepi.2017.10.021"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02/sim.8281" TargetMode="External" /><Relationship Type="http://schemas.openxmlformats.org/officeDocument/2006/relationships/hyperlink" Id="rId36" Target="https://doi.org/10.1016/j.jclinepi.2017.10.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dc:title>
  <dc:creator/>
  <cp:keywords/>
  <dcterms:created xsi:type="dcterms:W3CDTF">2021-05-26T16:06:12Z</dcterms:created>
  <dcterms:modified xsi:type="dcterms:W3CDTF">2021-05-26T16:06:12Z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12pt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