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of the base-case scenario treatment was allocated at</w:t>
      </w:r>
      <w:r>
        <w:t xml:space="preserve"> </w:t>
      </w:r>
      <w:r>
        <w:t xml:space="preserve">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</w:t>
      </w:r>
      <w:r>
        <w:t xml:space="preserve"> </w:t>
      </w:r>
      <w:r>
        <w:t xml:space="preserve">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</w:t>
      </w:r>
      <w:r>
        <w:t xml:space="preserve"> </w:t>
      </w:r>
      <w:r>
        <w:t xml:space="preserve">Outcomes for patients in the control arm were generated from a logistic</w:t>
      </w:r>
      <w:r>
        <w:t xml:space="preserve"> </w:t>
      </w:r>
      <w:r>
        <w:t xml:space="preserve">regression model including all baseline covariates. Coefficient values were</w:t>
      </w:r>
      <w:r>
        <w:t xml:space="preserve"> </w:t>
      </w:r>
      <w:r>
        <w:t xml:space="preserve">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  <m:r>
          <m:t>%</m:t>
        </m:r>
      </m:oMath>
      <w:r>
        <w:t xml:space="preserve"> </w:t>
      </w:r>
      <w:r>
        <w:t xml:space="preserve">in the control arm was achieved. Outcomes in the treatment arm were</w:t>
      </w:r>
      <w:r>
        <w:t xml:space="preserve"> </w:t>
      </w:r>
      <w:r>
        <w:t xml:space="preserve">created using the same logistic regression model, including a constant treatment</w:t>
      </w:r>
      <w:r>
        <w:t xml:space="preserve"> </w:t>
      </w:r>
      <w:r>
        <w:t xml:space="preserve">effect odds ratio (OR) of</w:t>
      </w:r>
      <w:r>
        <w:t xml:space="preserve"> </w:t>
      </w:r>
      <m:oMath>
        <m:r>
          <m:t>0.8</m:t>
        </m:r>
      </m:oMath>
      <w:r>
        <w:t xml:space="preserve">. The generated samples of the base-case scenario</w:t>
      </w:r>
      <w:r>
        <w:t xml:space="preserve"> </w:t>
      </w:r>
      <w:r>
        <w:t xml:space="preserve">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  <m:r>
          <m:t>%</m:t>
        </m:r>
      </m:oMath>
      <w:r>
        <w:t xml:space="preserve"> </w:t>
      </w:r>
      <w:r>
        <w:t xml:space="preserve">power for the detection of an 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We assessed the effect of stronger and absent relative treatment effects</w:t>
      </w:r>
      <w:r>
        <w:t xml:space="preserve"> </w:t>
      </w:r>
      <w:r>
        <w:t xml:space="preserve">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</w:t>
      </w:r>
      <w:r>
        <w:t xml:space="preserve"> </w:t>
      </w:r>
      <w:r>
        <w:t xml:space="preserve">line should be parallel to the diagonal, considering moderate and stronger</w:t>
      </w:r>
      <w:r>
        <w:t xml:space="preserve"> </w:t>
      </w:r>
      <w:r>
        <w:t xml:space="preserve">linear deviations. Finally, we dropped the assumption of linearity allowing for</w:t>
      </w:r>
      <w:r>
        <w:t xml:space="preserve"> </w:t>
      </w:r>
      <w:r>
        <w:t xml:space="preserve">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 within each treatment arm. In this case, absolute benefit is</w:t>
      </w:r>
      <w:r>
        <w:t xml:space="preserve"> </w:t>
      </w:r>
      <w:r>
        <w:t xml:space="preserve">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all scenarios.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base case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base case</w:t>
      </w:r>
    </w:p>
    <w:p>
      <w:pPr>
        <w:pStyle w:val="BodyText"/>
      </w:pPr>
      <w:r>
        <w:t xml:space="preserve">When we increased the sample size (N = 17000),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Sample size 17000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Sample size 17000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when strong quadratic deviations from the base</w:t>
      </w:r>
      <w:r>
        <w:t xml:space="preserve"> </w:t>
      </w:r>
      <w:r>
        <w:t xml:space="preserve">case of true constant relative treatment effects were assumed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AUC 0.85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AUC 0.85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(Figure</w:t>
      </w:r>
      <w:r>
        <w:t xml:space="preserve"> </w:t>
      </w:r>
      <w:r>
        <w:t xml:space="preserve">3.4</w:t>
      </w:r>
      <w:r>
        <w:t xml:space="preserve">). However,</w:t>
      </w:r>
      <w:r>
        <w:t xml:space="preserve"> </w:t>
      </w:r>
      <w:r>
        <w:t xml:space="preserve">models including a linear interaction with the risk linear predictor tended to</w:t>
      </w:r>
      <w:r>
        <w:t xml:space="preserve"> </w:t>
      </w:r>
      <w:r>
        <w:t xml:space="preserve">present much lower variability compared to all other model-based and smoothing</w:t>
      </w:r>
      <w:r>
        <w:t xml:space="preserve"> </w:t>
      </w:r>
      <w:r>
        <w:t xml:space="preserve">approaches. We also observed an increasing trend of discrimination for benefit</w:t>
      </w:r>
      <w:r>
        <w:t xml:space="preserve"> </w:t>
      </w:r>
      <w:r>
        <w:t xml:space="preserve">variability with increasing number of restricted cubic spline knots in all</w:t>
      </w:r>
      <w:r>
        <w:t xml:space="preserve"> </w:t>
      </w:r>
      <w:r>
        <w:t xml:space="preserve">scenarios. This is evidence that the increased flexibility of these methods</w:t>
      </w:r>
      <w:r>
        <w:t xml:space="preserve"> </w:t>
      </w:r>
      <w:r>
        <w:t xml:space="preserve">often led to overfitting.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base case.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base case.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(Califf 1997; Steyerberg 2000),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 benefit,</w:t>
      </w:r>
      <w:r>
        <w:t xml:space="preserve"> </w:t>
      </w:r>
      <w:r>
        <w:t xml:space="preserve">validated internally,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predictions, while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Caption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Caption</w:t>
      </w:r>
    </w:p>
    <w:p>
      <w:r>
        <w:br w:type="page"/>
      </w:r>
    </w:p>
    <w:p>
      <w:pPr>
        <w:pStyle w:val="Heading1"/>
      </w:pPr>
      <w:bookmarkStart w:id="35" w:name="references"/>
      <w:r>
        <w:t xml:space="preserve">4	References</w:t>
      </w:r>
      <w:bookmarkEnd w:id="35"/>
    </w:p>
    <w:p>
      <w:pPr>
        <w:pStyle w:val="FirstParagraph"/>
      </w:pPr>
    </w:p>
    <w:bookmarkStart w:id="50" w:name="refs"/>
    <w:bookmarkStart w:id="37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6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7"/>
    <w:bookmarkStart w:id="39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8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39"/>
    <w:bookmarkStart w:id="41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0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1"/>
    <w:bookmarkStart w:id="43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2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3"/>
    <w:bookmarkStart w:id="45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4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5"/>
    <w:bookmarkStart w:id="47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6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7"/>
    <w:bookmarkStart w:id="49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8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49"/>
    <w:bookmarkEnd w:id="50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2021-06-10T17:33:33Z</dcterms:created>
  <dcterms:modified xsi:type="dcterms:W3CDTF">2021-06-10T17:33:33Z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