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r>
        <w:t xml:space="preserve"> </w:t>
      </w:r>
      <w:r>
        <w:t xml:space="preserve">in</w:t>
      </w:r>
      <w:r>
        <w:t xml:space="preserve"> </w:t>
      </w:r>
      <w:r>
        <w:t xml:space="preserve">simulations</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 This is the method</w:t>
      </w:r>
      <w:r>
        <w:t xml:space="preserve"> </w:t>
      </w:r>
      <w:r>
        <w:t xml:space="preserve">usually considered when performing risk-based assessment of treatment effect</w:t>
      </w:r>
      <w:r>
        <w:t xml:space="preserve"> </w:t>
      </w:r>
      <w:r>
        <w:t xml:space="preserve">heterogeneity in RCT data.</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 in simulations</dc:title>
  <dc:creator/>
  <cp:keywords>treatment effect heterogeneity, absolute benefit, prediction models</cp:keywords>
  <dcterms:created xsi:type="dcterms:W3CDTF">2021-07-05T15:35:46Z</dcterms:created>
  <dcterms:modified xsi:type="dcterms:W3CDTF">2021-07-05T15:35:46Z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