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based on the base-case scenario treatment was</w:t>
      </w:r>
      <w:r>
        <w:t xml:space="preserve"> </w:t>
      </w:r>
      <w:r>
        <w:t xml:space="preserve">allocated at 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 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 Outcomes for patients in the control arm were</w:t>
      </w:r>
      <w:r>
        <w:t xml:space="preserve"> </w:t>
      </w:r>
      <w:r>
        <w:t xml:space="preserve">generated from a logistic regression model including all baseline covariates.</w:t>
      </w:r>
      <w:r>
        <w:t xml:space="preserve"> </w:t>
      </w:r>
      <w:r>
        <w:t xml:space="preserve">Coefficient values were 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</m:oMath>
      <w:r>
        <w:t xml:space="preserve"> </w:t>
      </w:r>
      <w:r>
        <w:t xml:space="preserve">in the control arm was achieved. Outcomes in the</w:t>
      </w:r>
      <w:r>
        <w:t xml:space="preserve"> </w:t>
      </w:r>
      <w:r>
        <w:t xml:space="preserve">treatment arm were created using the same logistic regression model, including a</w:t>
      </w:r>
      <w:r>
        <w:t xml:space="preserve"> </w:t>
      </w:r>
      <w:r>
        <w:t xml:space="preserve">constant treatment effect odds ratio (OR) of</w:t>
      </w:r>
      <w:r>
        <w:t xml:space="preserve"> </w:t>
      </w:r>
      <m:oMath>
        <m:r>
          <m:t>0.8</m:t>
        </m:r>
      </m:oMath>
      <w:r>
        <w:t xml:space="preserve">. The generated samples of the</w:t>
      </w:r>
      <w:r>
        <w:t xml:space="preserve"> </w:t>
      </w:r>
      <w:r>
        <w:t xml:space="preserve">base-case scenario 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</m:oMath>
      <w:r>
        <w:t xml:space="preserve"> </w:t>
      </w:r>
      <w:r>
        <w:t xml:space="preserve">power for the detection of an</w:t>
      </w:r>
      <w:r>
        <w:t xml:space="preserve"> </w:t>
      </w:r>
      <w:r>
        <w:t xml:space="preserve">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(See Figure XX of the supplementary material). We assessed the effect of</w:t>
      </w:r>
      <w:r>
        <w:t xml:space="preserve"> </w:t>
      </w:r>
      <w:r>
        <w:t xml:space="preserve">stronger and absent relative treatment effects 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 line should be parallel</w:t>
      </w:r>
      <w:r>
        <w:t xml:space="preserve"> </w:t>
      </w:r>
      <w:r>
        <w:t xml:space="preserve">to the diagonal, considering moderate and stronger linear deviations. Finally,</w:t>
      </w:r>
      <w:r>
        <w:t xml:space="preserve"> </w:t>
      </w:r>
      <w:r>
        <w:t xml:space="preserve">we dropped the assumption of linearity allowing for 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individualized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interaction. In this case, absolute benefit is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FirstParagraph"/>
      </w:pPr>
      <w:r>
        <w:t xml:space="preserve">Assuming that</w:t>
      </w:r>
      <w:r>
        <w:t xml:space="preserve"> </w:t>
      </w:r>
      <m:oMath>
        <m:r>
          <m:t>τ</m:t>
        </m:r>
        <m:r>
          <m:t>(</m:t>
        </m:r>
        <m:r>
          <m:rPr>
            <m:sty m:val="b"/>
          </m:rPr>
          <m:t>x</m:t>
        </m:r>
        <m:r>
          <m:t>)</m:t>
        </m:r>
        <m:r>
          <m:t>=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0</m:t>
        </m:r>
        <m:r>
          <m:t>}</m:t>
        </m:r>
        <m:r>
          <m:t>−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1</m:t>
        </m:r>
        <m:r>
          <m:t>}</m:t>
        </m:r>
      </m:oMath>
      <w:r>
        <w:t xml:space="preserve"> </w:t>
      </w:r>
      <w:r>
        <w:t xml:space="preserve">is the true benefit for each patient and</w:t>
      </w:r>
      <w:r>
        <w:t xml:space="preserve"> </w:t>
      </w:r>
      <m:oMath>
        <m:acc>
          <m:accPr>
            <m:chr m:val="̂"/>
          </m:accPr>
          <m:e>
            <m:r>
              <m:t>τ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is the estimated benefit from a method under study, the ideal loss function to use for the considered methods would be the unobservable root mean squared error</w:t>
      </w:r>
      <w:r>
        <w:t xml:space="preserve"> </w:t>
      </w:r>
      <m:oMath>
        <m:r>
          <m:t>E</m:t>
        </m:r>
        <m:r>
          <m:t>{</m:t>
        </m:r>
        <m:r>
          <m:t>(</m:t>
        </m:r>
        <m:acc>
          <m:accPr>
            <m:chr m:val="̂"/>
          </m:accPr>
          <m:e>
            <m:r>
              <m:t>τ</m:t>
            </m:r>
          </m:e>
        </m:acc>
        <m:r>
          <m:t>−</m:t>
        </m:r>
        <m:r>
          <m:t>τ</m:t>
        </m:r>
        <m:sSup>
          <m:e>
            <m:r>
              <m:t>)</m:t>
            </m:r>
          </m:e>
          <m:sup>
            <m:r>
              <m:t>2</m:t>
            </m:r>
          </m:sup>
        </m:sSup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}</m:t>
        </m:r>
      </m:oMath>
      <w:r>
        <w:t xml:space="preserve">. However, in simulations the true patient-level benefit is available. Therefore, we estimated RMSE from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RMSE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r>
            <m:t>τ</m:t>
          </m:r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−</m:t>
          </m:r>
          <m:acc>
            <m:accPr>
              <m:chr m:val="̂"/>
            </m:accPr>
            <m:e>
              <m:r>
                <m:t>τ</m:t>
              </m:r>
            </m:e>
          </m:acc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sSup>
            <m:e>
              <m:r>
                <m:t>)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We also compared the predictive performance of the methods under study. We</w:t>
      </w:r>
      <w:r>
        <w:t xml:space="preserve"> </w:t>
      </w:r>
      <w:r>
        <w:t xml:space="preserve">assessed discrimination using the c-for-benefit statistic described in</w:t>
      </w:r>
      <w:r>
        <w:t xml:space="preserve"> </w:t>
      </w:r>
      <w:r>
        <w:t xml:space="preserve">[8]</w:t>
      </w:r>
      <w:r>
        <w:t xml:space="preserve">. Patients in each treatment arm are ranked based on their</w:t>
      </w:r>
      <w:r>
        <w:t xml:space="preserve"> </w:t>
      </w:r>
      <w:r>
        <w:t xml:space="preserve">predicted benefit and then are matched 1:1, dropping patients in the larger</w:t>
      </w:r>
      <w:r>
        <w:t xml:space="preserve"> </w:t>
      </w:r>
      <w:r>
        <w:t xml:space="preserve">treatment arm without a pair. We define</w:t>
      </w:r>
      <w:r>
        <w:t xml:space="preserve"> </w:t>
      </w:r>
      <w:r>
        <w:rPr>
          <w:i/>
        </w:rPr>
        <w:t xml:space="preserve">observed</w:t>
      </w:r>
      <w:r>
        <w:t xml:space="preserve"> </w:t>
      </w:r>
      <w:r>
        <w:t xml:space="preserve">pair-specific treatment</w:t>
      </w:r>
      <w:r>
        <w:t xml:space="preserve"> </w:t>
      </w:r>
      <w:r>
        <w:t xml:space="preserve">benefit as the difference of observed outcomes between the untreated and the</w:t>
      </w:r>
      <w:r>
        <w:t xml:space="preserve"> </w:t>
      </w:r>
      <w:r>
        <w:t xml:space="preserve">treated patient of each pair. Pair-specific</w:t>
      </w:r>
      <w:r>
        <w:t xml:space="preserve"> </w:t>
      </w:r>
      <w:r>
        <w:rPr>
          <w:i/>
        </w:rPr>
        <w:t xml:space="preserve">predicted</w:t>
      </w:r>
      <w:r>
        <w:t xml:space="preserve"> </w:t>
      </w:r>
      <w:r>
        <w:t xml:space="preserve">benefit is defined as</w:t>
      </w:r>
      <w:r>
        <w:t xml:space="preserve"> </w:t>
      </w:r>
      <w:r>
        <w:t xml:space="preserve">the average of predicted benefits within each pair. Then, c-for-benefit is</w:t>
      </w:r>
      <w:r>
        <w:t xml:space="preserve"> </w:t>
      </w:r>
      <w:r>
        <w:t xml:space="preserve">defined as the probability that from two randomly chosen matched patient pairs</w:t>
      </w:r>
      <w:r>
        <w:t xml:space="preserve"> </w:t>
      </w:r>
      <w:r>
        <w:t xml:space="preserve">with unequal observed benefit, the pair with greater observed benefit also has a</w:t>
      </w:r>
      <w:r>
        <w:t xml:space="preserve"> </w:t>
      </w:r>
      <w:r>
        <w:t xml:space="preserve">higher predicted benefit.</w:t>
      </w:r>
    </w:p>
    <w:p>
      <w:pPr>
        <w:pStyle w:val="BodyText"/>
      </w:pPr>
      <w:r>
        <w:t xml:space="preserve">We evaluated calibration in a similar manner, using the integrated calibration</w:t>
      </w:r>
      <w:r>
        <w:t xml:space="preserve"> </w:t>
      </w:r>
      <w:r>
        <w:t xml:space="preserve">index (ICI) for benefit</w:t>
      </w:r>
      <w:r>
        <w:t xml:space="preserve"> </w:t>
      </w:r>
      <w:r>
        <w:t xml:space="preserve">[9]</w:t>
      </w:r>
      <w:r>
        <w:t xml:space="preserve">. After creating pairs based on predicted</w:t>
      </w:r>
      <w:r>
        <w:t xml:space="preserve"> </w:t>
      </w:r>
      <w:r>
        <w:t xml:space="preserve">benefit, observed benefits are regressed on the predicted benefits using a</w:t>
      </w:r>
      <w:r>
        <w:t xml:space="preserve"> </w:t>
      </w:r>
      <w:r>
        <w:t xml:space="preserve">locally weighted scatterplot smoother (loess). The ICI is the area between the</w:t>
      </w:r>
      <w:r>
        <w:t xml:space="preserve"> </w:t>
      </w:r>
      <w:r>
        <w:t xml:space="preserve">loess fit and the diagonal, with values closer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indicating better</w:t>
      </w:r>
      <w:r>
        <w:t xml:space="preserve"> </w:t>
      </w:r>
      <w:r>
        <w:t xml:space="preserve">calibration.</w:t>
      </w:r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4,250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each scenario.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base case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base case</w:t>
      </w:r>
    </w:p>
    <w:p>
      <w:pPr>
        <w:pStyle w:val="BodyText"/>
      </w:pPr>
      <w:r>
        <w:t xml:space="preserve">When we increased the sample size (N = 17,000),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Sample size 17000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Sample size 17000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in the presence of strong quadratic deviations</w:t>
      </w:r>
      <w:r>
        <w:t xml:space="preserve"> </w:t>
      </w:r>
      <w:r>
        <w:t xml:space="preserve">from the base case of true constant relative treatment effects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AUC 0.85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AUC 0.85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(N=4,250; AUC = 0.75). However, models</w:t>
      </w:r>
      <w:r>
        <w:t xml:space="preserve"> </w:t>
      </w:r>
      <w:r>
        <w:t xml:space="preserve">including a linear interaction with the risk linear predictor tended to present</w:t>
      </w:r>
      <w:r>
        <w:t xml:space="preserve"> </w:t>
      </w:r>
      <w:r>
        <w:t xml:space="preserve">much lower variability compared to all other model-based and smoothing</w:t>
      </w:r>
      <w:r>
        <w:t xml:space="preserve"> </w:t>
      </w:r>
      <w:r>
        <w:t xml:space="preserve">approaches (Figure</w:t>
      </w:r>
      <w:r>
        <w:t xml:space="preserve"> </w:t>
      </w:r>
      <w:r>
        <w:t xml:space="preserve">3.4</w:t>
      </w:r>
      <w:r>
        <w:t xml:space="preserve">). We also observed an increasing</w:t>
      </w:r>
      <w:r>
        <w:t xml:space="preserve"> </w:t>
      </w:r>
      <w:r>
        <w:t xml:space="preserve">trend of discrimination for benefit variability with increasing number of</w:t>
      </w:r>
      <w:r>
        <w:t xml:space="preserve"> </w:t>
      </w:r>
      <w:r>
        <w:t xml:space="preserve">restricted cubic spline knots in all scenarios.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base case.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base case.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previous analyses</w:t>
      </w:r>
      <w:r>
        <w:t xml:space="preserve"> </w:t>
      </w:r>
      <w:r>
        <w:t xml:space="preserve">[10,11]</w:t>
      </w:r>
      <w:r>
        <w:t xml:space="preserve">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 benefit,</w:t>
      </w:r>
      <w:r>
        <w:t xml:space="preserve"> </w:t>
      </w:r>
      <w:r>
        <w:t xml:space="preserve">validated internally,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predictions, while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Caption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Caption</w:t>
      </w:r>
    </w:p>
    <w:p>
      <w:r>
        <w:br w:type="page"/>
      </w:r>
    </w:p>
    <w:p>
      <w:pPr>
        <w:pStyle w:val="Heading1"/>
      </w:pPr>
      <w:bookmarkStart w:id="35" w:name="references"/>
      <w:r>
        <w:t xml:space="preserve">4	References</w:t>
      </w:r>
      <w:bookmarkEnd w:id="35"/>
    </w:p>
    <w:p>
      <w:pPr>
        <w:pStyle w:val="FirstParagraph"/>
      </w:pPr>
    </w:p>
    <w:bookmarkStart w:id="58" w:name="refs"/>
    <w:bookmarkStart w:id="37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6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7"/>
    <w:bookmarkStart w:id="39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8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39"/>
    <w:bookmarkStart w:id="41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0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1"/>
    <w:bookmarkStart w:id="43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2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3"/>
    <w:bookmarkStart w:id="45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4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5"/>
    <w:bookmarkStart w:id="47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6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7"/>
    <w:bookmarkStart w:id="49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8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49"/>
    <w:bookmarkStart w:id="51" w:name="ref-vanKlaveren2018"/>
    <w:p>
      <w:pPr>
        <w:pStyle w:val="Bibliography"/>
      </w:pPr>
      <w:r>
        <w:t xml:space="preserve">[8] Klaveren D van, Steyerberg EW, Serruys PW, Kent DM. The proposed “concordance-statistic for benefit” provided a useful metric when modeling heterogeneous treatment effects. Journal of Clinical Epidemiology 2018;94:59–68.</w:t>
      </w:r>
      <w:r>
        <w:t xml:space="preserve"> </w:t>
      </w:r>
      <w:hyperlink r:id="rId50">
        <w:r>
          <w:rPr>
            <w:rStyle w:val="Hyperlink"/>
          </w:rPr>
          <w:t xml:space="preserve">https://doi.org/10.1016/j.jclinepi.2017.10.021</w:t>
        </w:r>
      </w:hyperlink>
      <w:r>
        <w:t xml:space="preserve">.</w:t>
      </w:r>
    </w:p>
    <w:bookmarkEnd w:id="51"/>
    <w:bookmarkStart w:id="53" w:name="ref-Austin2019"/>
    <w:p>
      <w:pPr>
        <w:pStyle w:val="Bibliography"/>
      </w:pPr>
      <w:r>
        <w:t xml:space="preserve">[9] Austin PC, Steyerberg EW. The integrated calibration index (ICI) and related metrics for quantifying the calibration of logistic regression models. Statistics in Medicine 2019;38:4051–65.</w:t>
      </w:r>
      <w:r>
        <w:t xml:space="preserve"> </w:t>
      </w:r>
      <w:hyperlink r:id="rId52">
        <w:r>
          <w:rPr>
            <w:rStyle w:val="Hyperlink"/>
          </w:rPr>
          <w:t xml:space="preserve">https://doi.org/10.1002/sim.8281</w:t>
        </w:r>
      </w:hyperlink>
      <w:r>
        <w:t xml:space="preserve">.</w:t>
      </w:r>
    </w:p>
    <w:bookmarkEnd w:id="53"/>
    <w:bookmarkStart w:id="55" w:name="ref-Califf1997"/>
    <w:p>
      <w:pPr>
        <w:pStyle w:val="Bibliography"/>
      </w:pPr>
      <w:r>
        <w:t xml:space="preserve">[10] Califf RM, Woodlief LH, Harrell FE, Lee KL, White HD, Guerci A, et al. Selection of thrombolytic therapy for individual patients: Development of a clinical model. American Heart Journal 1997;133:630–9.</w:t>
      </w:r>
      <w:r>
        <w:t xml:space="preserve"> </w:t>
      </w:r>
      <w:hyperlink r:id="rId54">
        <w:r>
          <w:rPr>
            <w:rStyle w:val="Hyperlink"/>
          </w:rPr>
          <w:t xml:space="preserve">https://doi.org/10.1016/s0002-8703(97)70164-9</w:t>
        </w:r>
      </w:hyperlink>
      <w:r>
        <w:t xml:space="preserve">.</w:t>
      </w:r>
    </w:p>
    <w:bookmarkEnd w:id="55"/>
    <w:bookmarkStart w:id="57" w:name="ref-Steyerberg2000"/>
    <w:p>
      <w:pPr>
        <w:pStyle w:val="Bibliography"/>
      </w:pPr>
      <w:r>
        <w:t xml:space="preserve">[11] Steyerberg EW, Bossuyt PMM, Lee KL. Clinical trials in acute myocardial infarction: Should we adjust for baseline characteristics? American Heart Journal 2000;139:745–51.</w:t>
      </w:r>
      <w:r>
        <w:t xml:space="preserve"> </w:t>
      </w:r>
      <w:hyperlink r:id="rId56">
        <w:r>
          <w:rPr>
            <w:rStyle w:val="Hyperlink"/>
          </w:rPr>
          <w:t xml:space="preserve">https://doi.org/10.1016/s0002-8703(00)90001-2</w:t>
        </w:r>
      </w:hyperlink>
      <w:r>
        <w:t xml:space="preserve">.</w:t>
      </w:r>
    </w:p>
    <w:bookmarkEnd w:id="57"/>
    <w:bookmarkEnd w:id="58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2" Target="https://doi.org/10.1002/sim.8281" TargetMode="External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50" Target="https://doi.org/10.1016/j.jclinepi.2017.10.021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56" Target="https://doi.org/10.1016/s0002-8703(00)90001-2" TargetMode="External" /><Relationship Type="http://schemas.openxmlformats.org/officeDocument/2006/relationships/hyperlink" Id="rId54" Target="https://doi.org/10.1016/s0002-8703(97)70164-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s://doi.org/10.1002/sim.8281" TargetMode="External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50" Target="https://doi.org/10.1016/j.jclinepi.2017.10.021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56" Target="https://doi.org/10.1016/s0002-8703(00)90001-2" TargetMode="External" /><Relationship Type="http://schemas.openxmlformats.org/officeDocument/2006/relationships/hyperlink" Id="rId54" Target="https://doi.org/10.1016/s0002-8703(97)70164-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2021-06-15T11:08:13Z</dcterms:created>
  <dcterms:modified xsi:type="dcterms:W3CDTF">2021-06-15T11:08:13Z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