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r>
        <w:br w:type="page"/>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two US observational administrative claims databases and one electronic health record (EHR) database, all mapped to OMOP-CDM version. More specifically, the considered claims databases were IBM MarketScan Medicare Supplemental Database (MDCR) representing retirees in the United States with primary or Medicare supplemental coverage and Optum De-Identified Clinformatics® Data Mart Database – Date of Death (DOD), including members of private health insurance. The EHR database was Optum de-identified Electronic Health Record Dataset (PANTHER) including Humedica’s Electronic Health Record.</w:t>
      </w:r>
    </w:p>
    <w:p>
      <w:pPr>
        <w:pStyle w:val="BodyText"/>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at 1 day after treatment initiation until 730 days after treatment initiation.</w:t>
      </w:r>
    </w:p>
    <w:p>
      <w:pPr>
        <w:pStyle w:val="Heading2"/>
      </w:pPr>
      <w:bookmarkStart w:id="23" w:name="statistical-analyses"/>
      <w:r>
        <w:t xml:space="preserve">2.2	Statistical analyses</w:t>
      </w:r>
      <w:bookmarkEnd w:id="23"/>
    </w:p>
    <w:p>
      <w:pPr>
        <w:pStyle w:val="FirstParagraph"/>
      </w:pPr>
      <w:r>
        <w:t xml:space="preserve">We performed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 (##REFERECNE).</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 Time at risk was set at 1 to 730 days after study inclusion.</w:t>
      </w:r>
    </w:p>
    <w:p>
      <w:pPr>
        <w:pStyle w:val="BodyText"/>
      </w:pPr>
      <w:r>
        <w:t xml:space="preserve">For each outcome we used the derived prediction models to divide th 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 95% CI) for hip fracture, 1 (0.96 to 1.1; 95%CI) for major osteoporotic fracture and 0.99 (0.87 to 1.1; 95%CI) for vertebral fracture (##Figures 1-3).</w:t>
      </w:r>
    </w:p>
    <w:p>
      <w:pPr>
        <w:pStyle w:val="BodyText"/>
      </w:pPr>
      <w:r>
        <w:t xml:space="preserve">When assessing heterogeneity of treatment effect, we estimated calibrated hazard ratios of 0.82 (0.64 to 1.1; 95% CI),</w:t>
      </w:r>
      <w:r>
        <w:t xml:space="preserve"> </w:t>
      </w:r>
      <w:r>
        <w:t xml:space="preserve">0.75 (0.58 to 0.97; 95% CI) and 0.84 (0.84 to 0.84; 95% CI) within the highest risk quarter of MDCR, OPTUM_DOD and PANTHER respectively. This translated in absolute risk reduction of 1.2% (-0.15% to 2.6%; 95% CI), 1.6% (0.3% to 2.9%; 95% CI), 0.31% (-0.74% to 1.4%; 95% CI). The random effects meta-analytic calibrated hazard ratio within the highest risk quarter was 0.8 (0.69 to 0.93; 95% CI) across the 3 databases.</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2021-02-24T17:06:54Z</dcterms:created>
  <dcterms:modified xsi:type="dcterms:W3CDTF">2021-02-24T17:06:54Z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y fmtid="{D5CDD505-2E9C-101B-9397-08002B2CF9AE}" pid="7" name="toc">
    <vt:lpwstr>False</vt:lpwstr>
  </property>
</Properties>
</file>