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6.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r>
        <w:br w:type="page"/>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(Optum-DOD)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w:t>
      </w:r>
      <w:r>
        <w:t xml:space="preserve"> </w:t>
      </w:r>
      <w:r>
        <w:t xml:space="preserve">[8]</w:t>
      </w:r>
      <w:r>
        <w:t xml:space="preserve">.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large-scale propensity score models within each database based on LASSO logistic regression using the same predefined set of measured covariates</w:t>
      </w:r>
      <w:r>
        <w:t xml:space="preserve"> </w:t>
      </w:r>
      <w:r>
        <w:t xml:space="preserve">[9]</w:t>
      </w:r>
      <w:r>
        <w:t xml:space="preserve">.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w:t>
      </w:r>
      <w:r>
        <w:t xml:space="preserve"> </w:t>
      </w:r>
      <w:r>
        <w:t xml:space="preserve">[10,11]</w:t>
      </w:r>
      <w:r>
        <w:t xml:space="preserve">. Following data extraction, the framework was applied in two steps. First, we derived individualized risk predictions for the three efficacy outcomes. We built the prediction models using LASSO logistic regression on the propensity score matched (1:4) subpopulation of the pooled treatment arms, aiming to remove any effect of measured confounding that may cause differential fit of our models across treatment arms. We considered the same large set of candidate covariates as for the development of the propensity score models.</w:t>
      </w:r>
    </w:p>
    <w:p>
      <w:pPr>
        <w:pStyle w:val="BodyText"/>
      </w:pPr>
      <w:r>
        <w:t xml:space="preserve">For each outcome we used the derived prediction models to divide the population in 4 equally-sized subgroups, based on the quarters of the predicted risk distribution. Within each of these risk-based subgroups we developed a new propensity score model. Our analyses were performed on the propensity score matched (1:4) subset of the risk subgroup subset. We derived relative effect estimates using Cox proportional hazards models only with treatment as a predictor. Absolute effect estimates were calculated based on the difference of the Kaplan-Meier estimates, on day 730 after treatment initiation.</w:t>
      </w:r>
    </w:p>
    <w:p>
      <w:pPr>
        <w:pStyle w:val="BodyText"/>
      </w:pPr>
      <w:r>
        <w:t xml:space="preserve">Residual study bias from unmeasured confounding can still be present in observational studies, which often may not be visible when evaluating propensity score adjustment. To account for that, we considered a set of 126 negative control outcome experiments, where a null effect was assumed to be true. We used the estimated relative effects for these outcomes to derive an empirical approximation to the true null distribution, which was then used to calibrate the hazard ratios and their 95% confidence intervals for the 3 outcomes of interest</w:t>
      </w:r>
      <w:r>
        <w:t xml:space="preserve"> </w:t>
      </w:r>
      <w:r>
        <w:t xml:space="preserve">[12,13]</w:t>
      </w:r>
      <w:r>
        <w:t xml:space="preserve">.</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w:t>
      </w:r>
      <w:r>
        <w:t xml:space="preserve"> </w:t>
      </w:r>
      <w:r>
        <w:t xml:space="preserve">??</w:t>
      </w:r>
      <w:r>
        <w:t xml:space="preserve">.</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6.1</w:t>
      </w:r>
      <w:r>
        <w:t xml:space="preserve">).</w:t>
      </w:r>
    </w:p>
    <w:p>
      <w:pPr>
        <w:pStyle w:val="BodyText"/>
      </w:pPr>
      <w:r>
        <w:t xml:space="preserve">The internally developed prediction models for hip fracture showed adequate performance achieving AUC of 0.72, 0.67 and 0.67 in MDCR, Optum-DOD and Optum-EHR respectively. When assessing heterogeneity of treatment effect for hip fracture, we estimated calibrated hazard ratios of 0.82 (0.64 to 1.05; 95% CI),</w:t>
      </w:r>
      <w:r>
        <w:t xml:space="preserve"> </w:t>
      </w:r>
      <w:r>
        <w:t xml:space="preserve">0.75 (0.58 to 0.97; 95% CI) and 0.84 (0.63 to 1.12; 95% CI) within the highest risk quarter of MDCR, Optum-DOD and Optum-EHR respectively. This translated in absolute risk reduction of 1.23% (-0.15% to 2.62%; 95% CI), 1.61% (0.30% to 2.93%; 95% CI), 0.31% (-0.74% to 1.35%; 95% CI) respectively (Figure</w:t>
      </w:r>
      <w:r>
        <w:t xml:space="preserve"> </w:t>
      </w:r>
      <w:r>
        <w:t xml:space="preserve">6.2</w:t>
      </w:r>
      <w:r>
        <w:t xml:space="preserve">). The random effects meta-analytic calibrated hazard ratio within the highest risk quarter was 0.80 (0.69 to 0.93; 95% CI) across the 3 databases. For the secondary outcomes (major osteoporotic fracture and vertebral fracture) we found no evidence of risk-based treatment effect heterogeneity. This was anticipated as overall effects of teriparatide on theses outcomes were not significant at the 95% confidence level. The full set of results can be explored at</w:t>
      </w:r>
      <w:r>
        <w:t xml:space="preserve"> </w:t>
      </w:r>
      <w:hyperlink r:id="rId25">
        <w:r>
          <w:rPr>
            <w:rStyle w:val="Hyperlink"/>
          </w:rPr>
          <w:t xml:space="preserve">https://arekkas.shinyapps.io/ter_bis_3dbs/</w:t>
        </w:r>
      </w:hyperlink>
      <w:r>
        <w:t xml:space="preserve">.</w:t>
      </w:r>
    </w:p>
    <w:p>
      <w:r>
        <w:br w:type="page"/>
      </w:r>
    </w:p>
    <w:p>
      <w:pPr>
        <w:pStyle w:val="Heading1"/>
      </w:pPr>
      <w:bookmarkStart w:id="26" w:name="discussion"/>
      <w:r>
        <w:t xml:space="preserve">4	Discussion</w:t>
      </w:r>
      <w:bookmarkEnd w:id="26"/>
    </w:p>
    <w:p>
      <w:r>
        <w:br w:type="page"/>
      </w:r>
    </w:p>
    <w:p>
      <w:pPr>
        <w:pStyle w:val="Heading1"/>
      </w:pPr>
      <w:bookmarkStart w:id="27" w:name="references"/>
      <w:r>
        <w:t xml:space="preserve">5	References</w:t>
      </w:r>
      <w:bookmarkEnd w:id="27"/>
    </w:p>
    <w:p>
      <w:pPr>
        <w:pStyle w:val="FirstParagraph"/>
      </w:pPr>
    </w:p>
    <w:bookmarkStart w:id="53" w:name="refs"/>
    <w:bookmarkStart w:id="28"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8"/>
    <w:bookmarkStart w:id="30"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9">
        <w:r>
          <w:rPr>
            <w:rStyle w:val="Hyperlink"/>
          </w:rPr>
          <w:t xml:space="preserve">10.1007/s11926-008-0017-6</w:t>
        </w:r>
      </w:hyperlink>
    </w:p>
    <w:bookmarkEnd w:id="30"/>
    <w:bookmarkStart w:id="32"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1">
        <w:r>
          <w:rPr>
            <w:rStyle w:val="Hyperlink"/>
          </w:rPr>
          <w:t xml:space="preserve">10.1056/nejm200105103441904</w:t>
        </w:r>
      </w:hyperlink>
    </w:p>
    <w:bookmarkEnd w:id="32"/>
    <w:bookmarkStart w:id="34"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3">
        <w:r>
          <w:rPr>
            <w:rStyle w:val="Hyperlink"/>
          </w:rPr>
          <w:t xml:space="preserve">10.1016/s0140-6736(17)32137-2</w:t>
        </w:r>
      </w:hyperlink>
    </w:p>
    <w:bookmarkEnd w:id="34"/>
    <w:bookmarkStart w:id="36"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5">
        <w:r>
          <w:rPr>
            <w:rStyle w:val="Hyperlink"/>
          </w:rPr>
          <w:t xml:space="preserve">10.1016/j.bone.2018.09.020</w:t>
        </w:r>
      </w:hyperlink>
    </w:p>
    <w:bookmarkEnd w:id="36"/>
    <w:bookmarkStart w:id="38"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7">
        <w:r>
          <w:rPr>
            <w:rStyle w:val="Hyperlink"/>
          </w:rPr>
          <w:t xml:space="preserve">10.1007/s00198-016-3888-9</w:t>
        </w:r>
      </w:hyperlink>
    </w:p>
    <w:bookmarkEnd w:id="38"/>
    <w:bookmarkStart w:id="40"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9">
        <w:r>
          <w:rPr>
            <w:rStyle w:val="Hyperlink"/>
          </w:rPr>
          <w:t xml:space="preserve">10.1007/s00223-018-0485-2</w:t>
        </w:r>
      </w:hyperlink>
    </w:p>
    <w:bookmarkEnd w:id="40"/>
    <w:bookmarkStart w:id="42" w:name="ref-Ryan2013"/>
    <w:p>
      <w:pPr>
        <w:pStyle w:val="Bibliography"/>
      </w:pPr>
      <w:r>
        <w:t xml:space="preserve">8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41">
        <w:r>
          <w:rPr>
            <w:rStyle w:val="Hyperlink"/>
          </w:rPr>
          <w:t xml:space="preserve">10.1007/s40264-013-0099-6</w:t>
        </w:r>
      </w:hyperlink>
    </w:p>
    <w:bookmarkEnd w:id="42"/>
    <w:bookmarkStart w:id="44" w:name="ref-Tian2018"/>
    <w:p>
      <w:pPr>
        <w:pStyle w:val="Bibliography"/>
      </w:pPr>
      <w:r>
        <w:t xml:space="preserve">9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43">
        <w:r>
          <w:rPr>
            <w:rStyle w:val="Hyperlink"/>
          </w:rPr>
          <w:t xml:space="preserve">10.1093/ije/dyy120</w:t>
        </w:r>
      </w:hyperlink>
    </w:p>
    <w:bookmarkEnd w:id="44"/>
    <w:bookmarkStart w:id="46" w:name="ref-Kent2019"/>
    <w:p>
      <w:pPr>
        <w:pStyle w:val="Bibliography"/>
      </w:pPr>
      <w:r>
        <w:t xml:space="preserve">10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45">
        <w:r>
          <w:rPr>
            <w:rStyle w:val="Hyperlink"/>
          </w:rPr>
          <w:t xml:space="preserve">10.7326/m18-3667</w:t>
        </w:r>
      </w:hyperlink>
    </w:p>
    <w:bookmarkEnd w:id="46"/>
    <w:bookmarkStart w:id="48" w:name="ref-KentEnE2019"/>
    <w:p>
      <w:pPr>
        <w:pStyle w:val="Bibliography"/>
      </w:pPr>
      <w:r>
        <w:t xml:space="preserve">11 Kent DM, Klaveren D van, Paulus JK</w:t>
      </w:r>
      <w:r>
        <w:t xml:space="preserve"> </w:t>
      </w:r>
      <w:r>
        <w:rPr>
          <w:i/>
        </w:rPr>
        <w:t xml:space="preserve">et al.</w:t>
      </w:r>
      <w:r>
        <w:t xml:space="preserve"> </w:t>
      </w:r>
      <w:r>
        <w:t xml:space="preserve">The predictive approaches to treatment effect heterogeneity (PATH) statement: Explanation and elaboration.</w:t>
      </w:r>
      <w:r>
        <w:t xml:space="preserve"> </w:t>
      </w:r>
      <w:r>
        <w:rPr>
          <w:i/>
        </w:rPr>
        <w:t xml:space="preserve">Annals of Internal Medicine</w:t>
      </w:r>
      <w:r>
        <w:t xml:space="preserve"> </w:t>
      </w:r>
      <w:r>
        <w:t xml:space="preserve">2019;</w:t>
      </w:r>
      <w:r>
        <w:rPr>
          <w:b/>
        </w:rPr>
        <w:t xml:space="preserve">172</w:t>
      </w:r>
      <w:r>
        <w:t xml:space="preserve">:W1. doi:</w:t>
      </w:r>
      <w:hyperlink r:id="rId47">
        <w:r>
          <w:rPr>
            <w:rStyle w:val="Hyperlink"/>
          </w:rPr>
          <w:t xml:space="preserve">10.7326/m18-3668</w:t>
        </w:r>
      </w:hyperlink>
    </w:p>
    <w:bookmarkEnd w:id="48"/>
    <w:bookmarkStart w:id="50" w:name="ref-Schuemie2013"/>
    <w:p>
      <w:pPr>
        <w:pStyle w:val="Bibliography"/>
      </w:pPr>
      <w:r>
        <w:t xml:space="preserve">12 Schuemie MJ, Ryan PB, DuMouchel W</w:t>
      </w:r>
      <w:r>
        <w:t xml:space="preserve"> </w:t>
      </w:r>
      <w:r>
        <w:rPr>
          <w:i/>
        </w:rPr>
        <w:t xml:space="preserve">et al.</w:t>
      </w:r>
      <w:r>
        <w:t xml:space="preserve"> </w:t>
      </w:r>
      <w:r>
        <w:t xml:space="preserve">Interpreting observational studies: Why empirical calibration is needed to correct p -values.</w:t>
      </w:r>
      <w:r>
        <w:t xml:space="preserve"> </w:t>
      </w:r>
      <w:r>
        <w:rPr>
          <w:i/>
        </w:rPr>
        <w:t xml:space="preserve">Statistics in Medicine</w:t>
      </w:r>
      <w:r>
        <w:t xml:space="preserve"> </w:t>
      </w:r>
      <w:r>
        <w:t xml:space="preserve">2013;</w:t>
      </w:r>
      <w:r>
        <w:rPr>
          <w:b/>
        </w:rPr>
        <w:t xml:space="preserve">33</w:t>
      </w:r>
      <w:r>
        <w:t xml:space="preserve">:209–18. doi:</w:t>
      </w:r>
      <w:hyperlink r:id="rId49">
        <w:r>
          <w:rPr>
            <w:rStyle w:val="Hyperlink"/>
          </w:rPr>
          <w:t xml:space="preserve">10.1002/sim.5925</w:t>
        </w:r>
      </w:hyperlink>
    </w:p>
    <w:bookmarkEnd w:id="50"/>
    <w:bookmarkStart w:id="52" w:name="ref-Schuemie2016"/>
    <w:p>
      <w:pPr>
        <w:pStyle w:val="Bibliography"/>
      </w:pPr>
      <w:r>
        <w:t xml:space="preserve">13 Schuemie MJ, Hripcsak G, Ryan PB</w:t>
      </w:r>
      <w:r>
        <w:t xml:space="preserve"> </w:t>
      </w:r>
      <w:r>
        <w:rPr>
          <w:i/>
        </w:rPr>
        <w:t xml:space="preserve">et al.</w:t>
      </w:r>
      <w:r>
        <w:t xml:space="preserve"> </w:t>
      </w:r>
      <w:r>
        <w:t xml:space="preserve">Robust empirical calibration of p -values using observational data.</w:t>
      </w:r>
      <w:r>
        <w:t xml:space="preserve"> </w:t>
      </w:r>
      <w:r>
        <w:rPr>
          <w:i/>
        </w:rPr>
        <w:t xml:space="preserve">Statistics in Medicine</w:t>
      </w:r>
      <w:r>
        <w:t xml:space="preserve"> </w:t>
      </w:r>
      <w:r>
        <w:t xml:space="preserve">2016;</w:t>
      </w:r>
      <w:r>
        <w:rPr>
          <w:b/>
        </w:rPr>
        <w:t xml:space="preserve">35</w:t>
      </w:r>
      <w:r>
        <w:t xml:space="preserve">:3883–8. doi:</w:t>
      </w:r>
      <w:hyperlink r:id="rId51">
        <w:r>
          <w:rPr>
            <w:rStyle w:val="Hyperlink"/>
          </w:rPr>
          <w:t xml:space="preserve">10.1002/sim.6977</w:t>
        </w:r>
      </w:hyperlink>
    </w:p>
    <w:bookmarkEnd w:id="52"/>
    <w:bookmarkEnd w:id="53"/>
    <w:p>
      <w:pPr>
        <w:pStyle w:val="BodyText"/>
      </w:pPr>
    </w:p>
    <w:p>
      <w:r>
        <w:br w:type="page"/>
      </w:r>
    </w:p>
    <w:p>
      <w:pPr>
        <w:pStyle w:val="Heading1"/>
      </w:pPr>
      <w:bookmarkStart w:id="54" w:name="tables-and-figures"/>
      <w:r>
        <w:t xml:space="preserve">6	Tables and figures</w:t>
      </w:r>
      <w:bookmarkEnd w:id="54"/>
    </w:p>
    <w:p>
      <w:r>
        <w:br w:type="page"/>
      </w:r>
    </w:p>
    <w:p>
      <w:pPr>
        <w:pStyle w:val="CaptionedFigure"/>
      </w:pPr>
      <w:r>
        <w:drawing>
          <wp:inline>
            <wp:extent cx="5943600" cy="2547257"/>
            <wp:effectExtent b="0" l="0" r="0" t="0"/>
            <wp:docPr descr="Figure 6.1: Calibrated hazard ratios for the 3 outcomes of interest across the 3 considered databases using a set of 126 negative controls. Values below 1 favour teriparatide, while values above 1 favour bisphosphonates." title="" id="1" name="Picture"/>
            <a:graphic>
              <a:graphicData uri="http://schemas.openxmlformats.org/drawingml/2006/picture">
                <pic:pic>
                  <pic:nvPicPr>
                    <pic:cNvPr descr="/home/arekkas/Documents/Projects/arekkas_TerVsBis_XXXX_2021/figures/plotMeta.png" id="0" name="Picture"/>
                    <pic:cNvPicPr>
                      <a:picLocks noChangeArrowheads="1" noChangeAspect="1"/>
                    </pic:cNvPicPr>
                  </pic:nvPicPr>
                  <pic:blipFill>
                    <a:blip r:embed="rId55"/>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6.1: Calibrated hazard ratios for the 3 outcomes of interest across the 3 considered databases using a set of 126 negative controls. Values below 1 favour teriparatide, while values above 1 favour bisphosphonates.</w:t>
      </w:r>
    </w:p>
    <w:p>
      <w:r>
        <w:br w:type="page"/>
      </w:r>
    </w:p>
    <w:p>
      <w:pPr>
        <w:pStyle w:val="CaptionedFigure"/>
      </w:pPr>
      <w:r>
        <w:drawing>
          <wp:inline>
            <wp:extent cx="5943600" cy="4245428"/>
            <wp:effectExtent b="0" l="0" r="0" t="0"/>
            <wp:docPr descr="Figure 6.2: Absolute risk differences wihtin quarters of predicted hip fracture risk across the 3 considered databases." title="" id="1" name="Picture"/>
            <a:graphic>
              <a:graphicData uri="http://schemas.openxmlformats.org/drawingml/2006/picture">
                <pic:pic>
                  <pic:nvPicPr>
                    <pic:cNvPr descr="/home/arekkas/Documents/Projects/arekkas_TerVsBis_XXXX_2021/figures/plotAbsoluteHip.png" id="0"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6.2: Absolute risk differences wihtin quarters of predicted hip fracture risk across the 3 considered databases.</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hyperlink" Id="rId25" Target="https://arekkas.shinyapps.io/ter_bis_3dbs/" TargetMode="External" /><Relationship Type="http://schemas.openxmlformats.org/officeDocument/2006/relationships/hyperlink" Id="rId49" Target="https://doi.org/10.1002/sim.5925" TargetMode="External" /><Relationship Type="http://schemas.openxmlformats.org/officeDocument/2006/relationships/hyperlink" Id="rId51" Target="https://doi.org/10.1002/sim.6977"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25" Target="https://arekkas.shinyapps.io/ter_bis_3dbs/" TargetMode="External" /><Relationship Type="http://schemas.openxmlformats.org/officeDocument/2006/relationships/hyperlink" Id="rId49" Target="https://doi.org/10.1002/sim.5925" TargetMode="External" /><Relationship Type="http://schemas.openxmlformats.org/officeDocument/2006/relationships/hyperlink" Id="rId51" Target="https://doi.org/10.1002/sim.6977"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2021-03-02T13:14:36Z</dcterms:created>
  <dcterms:modified xsi:type="dcterms:W3CDTF">2021-03-02T13:14:36Z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