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FirstParagraph"/>
      </w:pPr>
      <w:r>
        <w:t xml:space="preserve">Alexandros Rekkas</w:t>
      </w:r>
      <m:oMath>
        <m:sSup>
          <m:e>
            <m:r>
              <m:t>​</m:t>
            </m:r>
          </m:e>
          <m:sup>
            <m:r>
              <m:t>1</m:t>
            </m:r>
          </m:sup>
        </m:sSup>
      </m:oMath>
      <w:r>
        <w:t xml:space="preserve">, Annika M. Jödicke</w:t>
      </w:r>
      <m:oMath>
        <m:sSup>
          <m:e>
            <m:r>
              <m:t>​</m:t>
            </m:r>
          </m:e>
          <m:sup>
            <m:r>
              <m:t>2</m:t>
            </m:r>
          </m:sup>
        </m:sSup>
      </m:oMath>
      <w:r>
        <w:t xml:space="preserve">, David van Klaveren</w:t>
      </w:r>
      <m:oMath>
        <m:sSup>
          <m:e>
            <m:r>
              <m:t>​</m:t>
            </m:r>
          </m:e>
          <m:sup>
            <m:r>
              <m:t>3</m:t>
            </m:r>
          </m:sup>
        </m:sSup>
      </m:oMath>
      <w:r>
        <w:t xml:space="preserve">, Daniel Prieto-Alhambra</w:t>
      </w:r>
      <m:oMath>
        <m:sSup>
          <m:e>
            <m:r>
              <m:t>​</m:t>
            </m:r>
          </m:e>
          <m:sup>
            <m:r>
              <m:t>1</m:t>
            </m:r>
            <m:r>
              <m:t>,</m:t>
            </m:r>
            <m:r>
              <m:t>2</m:t>
            </m:r>
          </m:sup>
        </m:sSup>
      </m:oMath>
      <w:r>
        <w:t xml:space="preserve">, Peter R. Rijnbeek</w:t>
      </w:r>
      <m:oMath>
        <m:sSup>
          <m:e>
            <m:r>
              <m:t>​</m:t>
            </m:r>
          </m:e>
          <m:sup>
            <m:r>
              <m:t>1</m:t>
            </m:r>
          </m:sup>
        </m:sSup>
      </m:oMath>
    </w:p>
    <w:p>
      <w:pPr>
        <w:pStyle w:val="BodyText"/>
      </w:pPr>
      <m:oMath>
        <m:sSup>
          <m:e>
            <m:r>
              <m:t>​</m:t>
            </m:r>
          </m:e>
          <m:sup>
            <m:r>
              <m:t>1</m:t>
            </m:r>
          </m:sup>
        </m:sSup>
      </m:oMath>
      <w:r>
        <w:t xml:space="preserve"> </w:t>
      </w:r>
      <w:r>
        <w:t xml:space="preserve">Department of Medical Informatics, Erasmus University Medical Center, Rotterdam, Netherlands</w:t>
      </w:r>
    </w:p>
    <w:p>
      <w:pPr>
        <w:pStyle w:val="BodyText"/>
      </w:pPr>
      <m:oMath>
        <m:sSup>
          <m:e>
            <m:r>
              <m:t>​</m:t>
            </m:r>
          </m:e>
          <m:sup>
            <m:r>
              <m:t>2</m:t>
            </m:r>
          </m:sup>
        </m:sSup>
      </m:oMath>
      <w:r>
        <w:t xml:space="preserve"> </w:t>
      </w:r>
      <w:r>
        <w:t xml:space="preserve">Pharmaco- and Device Epidemiology, Centre for Statistics in Medicine, Nuffield Department of Orthopaedics, Rheumatology and Musculoskeletal Sciences, University of Oxford, Oxford, UK</w:t>
      </w:r>
    </w:p>
    <w:p>
      <w:pPr>
        <w:pStyle w:val="BodyText"/>
      </w:pPr>
      <m:oMath>
        <m:sSup>
          <m:e>
            <m:r>
              <m:t>​</m:t>
            </m:r>
          </m:e>
          <m:sup>
            <m:r>
              <m:t>3</m:t>
            </m:r>
          </m:sup>
        </m:sSup>
      </m:oMath>
      <w:r>
        <w:t xml:space="preserve"> </w:t>
      </w:r>
      <w:r>
        <w:t xml:space="preserve">Department of Public Health, Erasmus University Medical Center, Rotterdam, Netherlands</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w:t>
      </w:r>
      <w:r>
        <w:t xml:space="preserve"> </w:t>
      </w:r>
      <w:r>
        <w:t xml:space="preserve">[1]</w:t>
      </w:r>
      <w:r>
        <w:t xml:space="preserve">. It was estimated that in 2005, over 2 million incident fractures occurred in the United States, with hip fractures accounting for more than 70% of the costs. By 2025, annual fractures and costs could rise by almost 50%</w:t>
      </w:r>
      <w:r>
        <w:t xml:space="preserve"> </w:t>
      </w:r>
      <w:r>
        <w:t xml:space="preserve">[2]</w:t>
      </w:r>
      <w:r>
        <w:t xml:space="preserve">.</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w:t>
      </w:r>
      <w:r>
        <w:t xml:space="preserve"> </w:t>
      </w:r>
      <w:r>
        <w:t xml:space="preserve">[3]</w:t>
      </w:r>
      <w:r>
        <w:t xml:space="preserve"> </w:t>
      </w:r>
      <w:r>
        <w:t xml:space="preserve">and risedronate</w:t>
      </w:r>
      <w:r>
        <w:t xml:space="preserve"> </w:t>
      </w:r>
      <w:r>
        <w:t xml:space="preserve">[4]</w:t>
      </w:r>
      <w:r>
        <w:t xml:space="preserve">,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r>
        <w:t xml:space="preserve"> </w:t>
      </w:r>
      <w:r>
        <w:t xml:space="preserve">[5]</w:t>
      </w:r>
      <w:r>
        <w:t xml:space="preserve">.</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w:t>
      </w:r>
      <w:r>
        <w:t xml:space="preserve"> </w:t>
      </w:r>
      <w:r>
        <w:t xml:space="preserve">[6,7]</w:t>
      </w:r>
      <w:r>
        <w:t xml:space="preserve">,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three US observational databases mapped to OMOP-CDM version. More specifically:</w:t>
      </w:r>
    </w:p>
    <w:p>
      <w:pPr>
        <w:numPr>
          <w:ilvl w:val="0"/>
          <w:numId w:val="1001"/>
        </w:numPr>
      </w:pPr>
      <w:r>
        <w:rPr>
          <w:b/>
        </w:rPr>
        <w:t xml:space="preserve">IBM MarketScan Medicare Supplemental Database (MDCR)</w:t>
      </w:r>
      <w:r>
        <w:t xml:space="preserve"> </w:t>
      </w:r>
      <w:r>
        <w:t xml:space="preserve">is a claims database representing retirees in the United States with primary or Medicare supplemental coverage</w:t>
      </w:r>
    </w:p>
    <w:p>
      <w:pPr>
        <w:numPr>
          <w:ilvl w:val="0"/>
          <w:numId w:val="1001"/>
        </w:numPr>
      </w:pPr>
      <w:r>
        <w:rPr>
          <w:b/>
        </w:rPr>
        <w:t xml:space="preserve">Optum De-Identified Clinformatics® Data Mart Database – Date of Death (DOD)</w:t>
      </w:r>
      <w:r>
        <w:t xml:space="preserve"> </w:t>
      </w:r>
      <w:r>
        <w:t xml:space="preserve">is a claims database including members of private health insurance.</w:t>
      </w:r>
    </w:p>
    <w:p>
      <w:pPr>
        <w:numPr>
          <w:ilvl w:val="0"/>
          <w:numId w:val="1001"/>
        </w:numPr>
      </w:pPr>
      <w:r>
        <w:rPr>
          <w:b/>
        </w:rPr>
        <w:t xml:space="preserve">Optum de-identified Electronic Health Record Dataset (Optum-EHR)</w:t>
      </w:r>
      <w:r>
        <w:t xml:space="preserve"> </w:t>
      </w:r>
      <w:r>
        <w:t xml:space="preserve">is an EHR database including Humedica’s Electronic Health Record.</w:t>
      </w:r>
    </w:p>
    <w:p>
      <w:pPr>
        <w:pStyle w:val="FirstParagraph"/>
      </w:pPr>
      <w:r>
        <w:t xml:space="preserve">Our cohorts included female new users of teriparatide or oral bisphosphonates above the age of 65 (ref 7,8 LEGEND-HTN).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 in their recorded medical history.</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1 day after treatment initiation and finished 730 days after treatment initiation.</w:t>
      </w:r>
    </w:p>
    <w:p>
      <w:pPr>
        <w:pStyle w:val="Heading2"/>
      </w:pPr>
      <w:bookmarkStart w:id="23" w:name="statistical-analyses"/>
      <w:r>
        <w:t xml:space="preserve">2.2	Statistical analyses</w:t>
      </w:r>
      <w:bookmarkEnd w:id="23"/>
    </w:p>
    <w:p>
      <w:pPr>
        <w:pStyle w:val="FirstParagraph"/>
      </w:pPr>
      <w:r>
        <w:t xml:space="preserve">We carried out two sets of analyses. First, we derived overall treatment effect estimates of teriparatide compared to oral bisphosphonates regarding the three outcomes of interest. To account for potential measured confounding we developed separate propensity score models within each database using the same predefined set of measured covariates. Covariates were included in the propensity score model using regularized logistic regression (##REFERENCE Tian-Schuemie simulation). We estimated treatment effects using Cox proportional hazards models with treatment as the sole covariate fitted in the 1-4 propensity score-matched subset of the considered patient population. Results from different databases were summarized using random effects meta-analysis.</w:t>
      </w:r>
    </w:p>
    <w:p>
      <w:pPr>
        <w:pStyle w:val="BodyText"/>
      </w:pPr>
      <w:r>
        <w:t xml:space="preserve">For the second set of analyses, we used the standardized framework for risk-based assessment of treatment effect heterogeneity, that follows the directives of the PATH statement (##REFERENCE framework). Following data extraction, the framework was applied in two steps. First, we derived individualized risk predictions for the three efficacy outcomes. We built the prediction models using LASSO logistic regression on the propensity score matched (1 to 4) subpopulation of the pooled treatment arms, aiming to remove any effect of measured confounding that may cause differential fit of our models across treatment arms. We considered the same large set of candidate covariates for the development of our prediction models.</w:t>
      </w:r>
    </w:p>
    <w:p>
      <w:pPr>
        <w:pStyle w:val="BodyText"/>
      </w:pPr>
      <w:r>
        <w:t xml:space="preserve">For each outcome we used the derived prediction models to divide the population under study in 4 equally-sized subgroups, based on the quarters of the predicted risk distribution. Within each of these risk-based subgroups we developed a new propensity score model. Our analyses were performed on the propensity score matched (1 to 4) subset of the risk subgroup subset. We used a set of XXX negative control outcomes, to calibrate our results for unmeasured confounding (##REFEFRENCE). We derived relative effect estimates using Cox proportional hazards models only with treatment as a predictor. Absolute effect estimates were calculated based on the difference of the Kaplan-Meier estimates, on day 730 after treatment initiation.</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 (##TABLE1).</w:t>
      </w:r>
    </w:p>
    <w:p>
      <w:pPr>
        <w:pStyle w:val="BodyText"/>
      </w:pPr>
      <w:r>
        <w:t xml:space="preserve">The random effects meta-analysis of teriparatide compared to oral bisphosphonates across the 3 considered databases gave a calibrated overall hazard ratio of 0.88 (0.77 to 1.00; 95% CI) for hip fracture, 1.05 (0.96 to 1.15; 95%CI) for major osteoporotic fracture and 0.99 (0.87 to 1.12; 95%CI) for vertebral fracture (Figure</w:t>
      </w:r>
      <w:r>
        <w:t xml:space="preserve"> </w:t>
      </w:r>
      <w:r>
        <w:t xml:space="preserve">5.1</w:t>
      </w:r>
      <w:r>
        <w:t xml:space="preserve">).</w:t>
      </w:r>
    </w:p>
    <w:p>
      <w:pPr>
        <w:pStyle w:val="BodyText"/>
      </w:pPr>
      <w:r>
        <w:t xml:space="preserve">When assessing heterogeneity of treatment effect for hip fractur e, we estimated calibrated hazard ratios of 0.82 (0.64 to 1.05; 95% CI),</w:t>
      </w:r>
      <w:r>
        <w:t xml:space="preserve"> </w:t>
      </w:r>
      <w:r>
        <w:t xml:space="preserve">0.75 (0.58 to 0.97; 95% CI) and 0.84 (0.63 to 1.12; 95% CI) within the highest risk quarter of MDCR, OPTUM_DOD and PANTHER respectively. This translated in absolute risk reduction of 1.23% (-0.15% to 2.62%; 95% CI), 1.61% (0.30% to 2.93%; 95% CI), 0.31% (-0.74% to 1.35%; 95% CI). The random effects meta-analytic calibrated hazard ratio within the highest risk quarter was 0.80 (0.69 to 0.93; 95% CI) across the 3 databases.</w:t>
      </w:r>
    </w:p>
    <w:p>
      <w:r>
        <w:br w:type="page"/>
      </w:r>
    </w:p>
    <w:p>
      <w:pPr>
        <w:pStyle w:val="Heading1"/>
      </w:pPr>
      <w:bookmarkStart w:id="25" w:name="discussion"/>
      <w:r>
        <w:t xml:space="preserve">4	Discussion</w:t>
      </w:r>
      <w:bookmarkEnd w:id="25"/>
    </w:p>
    <w:p>
      <w:r>
        <w:br w:type="page"/>
      </w:r>
    </w:p>
    <w:p>
      <w:pPr>
        <w:pStyle w:val="Heading1"/>
      </w:pPr>
      <w:bookmarkStart w:id="26" w:name="references"/>
      <w:r>
        <w:t xml:space="preserve">5	References</w:t>
      </w:r>
      <w:bookmarkEnd w:id="26"/>
    </w:p>
    <w:p>
      <w:pPr>
        <w:pStyle w:val="FirstParagraph"/>
      </w:pPr>
    </w:p>
    <w:bookmarkStart w:id="40" w:name="refs"/>
    <w:bookmarkStart w:id="27" w:name="ref-wright2017impact"/>
    <w:p>
      <w:pPr>
        <w:pStyle w:val="Bibliography"/>
      </w:pPr>
      <w:r>
        <w:t xml:space="preserve">1 Wright N, Saag K, Dawson-Hughes B</w:t>
      </w:r>
      <w:r>
        <w:t xml:space="preserve"> </w:t>
      </w:r>
      <w:r>
        <w:rPr>
          <w:i/>
        </w:rPr>
        <w:t xml:space="preserve">et al.</w:t>
      </w:r>
      <w:r>
        <w:t xml:space="preserve"> </w:t>
      </w:r>
      <w:r>
        <w:t xml:space="preserve">The impact of the new national bone health alliance (nbha) diagnostic criteria on the prevalence of osteoporosis in the usa.</w:t>
      </w:r>
      <w:r>
        <w:t xml:space="preserve"> </w:t>
      </w:r>
      <w:r>
        <w:rPr>
          <w:i/>
        </w:rPr>
        <w:t xml:space="preserve">Osteoporosis International</w:t>
      </w:r>
      <w:r>
        <w:t xml:space="preserve"> </w:t>
      </w:r>
      <w:r>
        <w:t xml:space="preserve">2017;</w:t>
      </w:r>
      <w:r>
        <w:rPr>
          <w:b/>
        </w:rPr>
        <w:t xml:space="preserve">28</w:t>
      </w:r>
      <w:r>
        <w:t xml:space="preserve">:1225–32.</w:t>
      </w:r>
    </w:p>
    <w:bookmarkEnd w:id="27"/>
    <w:bookmarkStart w:id="29" w:name="ref-Cole2008"/>
    <w:p>
      <w:pPr>
        <w:pStyle w:val="Bibliography"/>
      </w:pPr>
      <w:r>
        <w:t xml:space="preserve">2 Cole ZA, Dennison EM, Cooper C. Osteoporosis epidemiology update.</w:t>
      </w:r>
      <w:r>
        <w:t xml:space="preserve"> </w:t>
      </w:r>
      <w:r>
        <w:rPr>
          <w:i/>
        </w:rPr>
        <w:t xml:space="preserve">Current Rheumatology Reports</w:t>
      </w:r>
      <w:r>
        <w:t xml:space="preserve"> </w:t>
      </w:r>
      <w:r>
        <w:t xml:space="preserve">2008;</w:t>
      </w:r>
      <w:r>
        <w:rPr>
          <w:b/>
        </w:rPr>
        <w:t xml:space="preserve">10</w:t>
      </w:r>
      <w:r>
        <w:t xml:space="preserve">:92–6. doi:</w:t>
      </w:r>
      <w:hyperlink r:id="rId28">
        <w:r>
          <w:rPr>
            <w:rStyle w:val="Hyperlink"/>
          </w:rPr>
          <w:t xml:space="preserve">10.1007/s11926-008-0017-6</w:t>
        </w:r>
      </w:hyperlink>
    </w:p>
    <w:bookmarkEnd w:id="29"/>
    <w:bookmarkStart w:id="31" w:name="ref-Neer2001"/>
    <w:p>
      <w:pPr>
        <w:pStyle w:val="Bibliography"/>
      </w:pPr>
      <w:r>
        <w:t xml:space="preserve">3 Neer RM, Arnaud CD, Zanchetta JR</w:t>
      </w:r>
      <w:r>
        <w:t xml:space="preserve"> </w:t>
      </w:r>
      <w:r>
        <w:rPr>
          <w:i/>
        </w:rPr>
        <w:t xml:space="preserve">et al.</w:t>
      </w:r>
      <w:r>
        <w:t xml:space="preserve"> </w:t>
      </w:r>
      <w:r>
        <w:t xml:space="preserve">Effect of parathyroid hormone (1-34) on fractures and bone mineral density in postmenopausal women with osteoporosis.</w:t>
      </w:r>
      <w:r>
        <w:t xml:space="preserve"> </w:t>
      </w:r>
      <w:r>
        <w:rPr>
          <w:i/>
        </w:rPr>
        <w:t xml:space="preserve">New England Journal of Medicine</w:t>
      </w:r>
      <w:r>
        <w:t xml:space="preserve"> </w:t>
      </w:r>
      <w:r>
        <w:t xml:space="preserve">2001;</w:t>
      </w:r>
      <w:r>
        <w:rPr>
          <w:b/>
        </w:rPr>
        <w:t xml:space="preserve">344</w:t>
      </w:r>
      <w:r>
        <w:t xml:space="preserve">:1434–41. doi:</w:t>
      </w:r>
      <w:hyperlink r:id="rId30">
        <w:r>
          <w:rPr>
            <w:rStyle w:val="Hyperlink"/>
          </w:rPr>
          <w:t xml:space="preserve">10.1056/nejm200105103441904</w:t>
        </w:r>
      </w:hyperlink>
    </w:p>
    <w:bookmarkEnd w:id="31"/>
    <w:bookmarkStart w:id="33" w:name="ref-Kendler2018"/>
    <w:p>
      <w:pPr>
        <w:pStyle w:val="Bibliography"/>
      </w:pPr>
      <w:r>
        <w:t xml:space="preserve">4 Kendler DL, Marin F, Zerbini CAF</w:t>
      </w:r>
      <w:r>
        <w:t xml:space="preserve"> </w:t>
      </w:r>
      <w:r>
        <w:rPr>
          <w:i/>
        </w:rPr>
        <w:t xml:space="preserve">et al.</w:t>
      </w:r>
      <w:r>
        <w:t xml:space="preserve"> </w:t>
      </w:r>
      <w:r>
        <w:t xml:space="preserve">Effects of teriparatide and risedronate on new fractures in post-menopausal women with severe osteoporosis (VERO): A multicentre, double-blind, double-dummy, randomised controlled trial.</w:t>
      </w:r>
      <w:r>
        <w:t xml:space="preserve"> </w:t>
      </w:r>
      <w:r>
        <w:rPr>
          <w:i/>
        </w:rPr>
        <w:t xml:space="preserve">The Lancet</w:t>
      </w:r>
      <w:r>
        <w:t xml:space="preserve"> </w:t>
      </w:r>
      <w:r>
        <w:t xml:space="preserve">2018;</w:t>
      </w:r>
      <w:r>
        <w:rPr>
          <w:b/>
        </w:rPr>
        <w:t xml:space="preserve">391</w:t>
      </w:r>
      <w:r>
        <w:t xml:space="preserve">:230–40. doi:</w:t>
      </w:r>
      <w:hyperlink r:id="rId32">
        <w:r>
          <w:rPr>
            <w:rStyle w:val="Hyperlink"/>
          </w:rPr>
          <w:t xml:space="preserve">10.1016/s0140-6736(17)32137-2</w:t>
        </w:r>
      </w:hyperlink>
    </w:p>
    <w:bookmarkEnd w:id="33"/>
    <w:bookmarkStart w:id="35" w:name="ref-DezPrez2019"/>
    <w:p>
      <w:pPr>
        <w:pStyle w:val="Bibliography"/>
      </w:pPr>
      <w:r>
        <w:t xml:space="preserve">5 Díez-Pérez A, Marin F, Eriksen EF</w:t>
      </w:r>
      <w:r>
        <w:t xml:space="preserve"> </w:t>
      </w:r>
      <w:r>
        <w:rPr>
          <w:i/>
        </w:rPr>
        <w:t xml:space="preserve">et al.</w:t>
      </w:r>
      <w:r>
        <w:t xml:space="preserve"> </w:t>
      </w:r>
      <w:r>
        <w:t xml:space="preserve">Effects of teriparatide on hip and upper limb fractures in patients with osteoporosis: A systematic review and meta-analysis.</w:t>
      </w:r>
      <w:r>
        <w:t xml:space="preserve"> </w:t>
      </w:r>
      <w:r>
        <w:rPr>
          <w:i/>
        </w:rPr>
        <w:t xml:space="preserve">Bone</w:t>
      </w:r>
      <w:r>
        <w:t xml:space="preserve"> </w:t>
      </w:r>
      <w:r>
        <w:t xml:space="preserve">2019;</w:t>
      </w:r>
      <w:r>
        <w:rPr>
          <w:b/>
        </w:rPr>
        <w:t xml:space="preserve">120</w:t>
      </w:r>
      <w:r>
        <w:t xml:space="preserve">:1–8. doi:</w:t>
      </w:r>
      <w:hyperlink r:id="rId34">
        <w:r>
          <w:rPr>
            <w:rStyle w:val="Hyperlink"/>
          </w:rPr>
          <w:t xml:space="preserve">10.1016/j.bone.2018.09.020</w:t>
        </w:r>
      </w:hyperlink>
    </w:p>
    <w:bookmarkEnd w:id="35"/>
    <w:bookmarkStart w:id="37" w:name="ref-Burge2016"/>
    <w:p>
      <w:pPr>
        <w:pStyle w:val="Bibliography"/>
      </w:pPr>
      <w:r>
        <w:t xml:space="preserve">6 Burge RT, Disch DP, Gelwicks S</w:t>
      </w:r>
      <w:r>
        <w:t xml:space="preserve"> </w:t>
      </w:r>
      <w:r>
        <w:rPr>
          <w:i/>
        </w:rPr>
        <w:t xml:space="preserve">et al.</w:t>
      </w:r>
      <w:r>
        <w:t xml:space="preserve"> </w:t>
      </w:r>
      <w:r>
        <w:t xml:space="preserve">Hip and other fragility fracture incidence in real-world teriparatide-treated patients in the united states.</w:t>
      </w:r>
      <w:r>
        <w:t xml:space="preserve"> </w:t>
      </w:r>
      <w:r>
        <w:rPr>
          <w:i/>
        </w:rPr>
        <w:t xml:space="preserve">Osteoporosis International</w:t>
      </w:r>
      <w:r>
        <w:t xml:space="preserve"> </w:t>
      </w:r>
      <w:r>
        <w:t xml:space="preserve">2016;</w:t>
      </w:r>
      <w:r>
        <w:rPr>
          <w:b/>
        </w:rPr>
        <w:t xml:space="preserve">28</w:t>
      </w:r>
      <w:r>
        <w:t xml:space="preserve">:799–809. doi:</w:t>
      </w:r>
      <w:hyperlink r:id="rId36">
        <w:r>
          <w:rPr>
            <w:rStyle w:val="Hyperlink"/>
          </w:rPr>
          <w:t xml:space="preserve">10.1007/s00198-016-3888-9</w:t>
        </w:r>
      </w:hyperlink>
    </w:p>
    <w:bookmarkEnd w:id="37"/>
    <w:bookmarkStart w:id="39" w:name="ref-Silverman2018"/>
    <w:p>
      <w:pPr>
        <w:pStyle w:val="Bibliography"/>
      </w:pPr>
      <w:r>
        <w:t xml:space="preserve">7 Silverman S, Langdahl BL, Fujiwara S</w:t>
      </w:r>
      <w:r>
        <w:t xml:space="preserve"> </w:t>
      </w:r>
      <w:r>
        <w:rPr>
          <w:i/>
        </w:rPr>
        <w:t xml:space="preserve">et al.</w:t>
      </w:r>
      <w:r>
        <w:t xml:space="preserve"> </w:t>
      </w:r>
      <w:r>
        <w:t xml:space="preserve">Reduction of hip and other fractures in patients receiving teriparatide in real-world clinical practice: Integrated analysis of four prospective observational studies.</w:t>
      </w:r>
      <w:r>
        <w:t xml:space="preserve"> </w:t>
      </w:r>
      <w:r>
        <w:rPr>
          <w:i/>
        </w:rPr>
        <w:t xml:space="preserve">Calcified Tissue International</w:t>
      </w:r>
      <w:r>
        <w:t xml:space="preserve"> </w:t>
      </w:r>
      <w:r>
        <w:t xml:space="preserve">2018;</w:t>
      </w:r>
      <w:r>
        <w:rPr>
          <w:b/>
        </w:rPr>
        <w:t xml:space="preserve">104</w:t>
      </w:r>
      <w:r>
        <w:t xml:space="preserve">:193–200. doi:</w:t>
      </w:r>
      <w:hyperlink r:id="rId38">
        <w:r>
          <w:rPr>
            <w:rStyle w:val="Hyperlink"/>
          </w:rPr>
          <w:t xml:space="preserve">10.1007/s00223-018-0485-2</w:t>
        </w:r>
      </w:hyperlink>
    </w:p>
    <w:bookmarkEnd w:id="39"/>
    <w:bookmarkEnd w:id="40"/>
    <w:p>
      <w:pPr>
        <w:pStyle w:val="BodyText"/>
      </w:pPr>
    </w:p>
    <w:p>
      <w:r>
        <w:br w:type="page"/>
      </w:r>
    </w:p>
    <w:p>
      <w:pPr>
        <w:pStyle w:val="CaptionedFigure"/>
      </w:pPr>
      <w:r>
        <w:drawing>
          <wp:inline>
            <wp:extent cx="3810000" cy="2540000"/>
            <wp:effectExtent b="0" l="0" r="0" t="0"/>
            <wp:docPr descr="Figure 5.1: This is a caption" title="" id="1" name="Picture"/>
            <a:graphic>
              <a:graphicData uri="http://schemas.openxmlformats.org/drawingml/2006/picture">
                <pic:pic>
                  <pic:nvPicPr>
                    <pic:cNvPr descr="/home/arekkas/Documents/Projects/osteoporosis/figures/plotMeta.tif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5.1: This is a caption</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41" Target="media/rId41.tiff" /><Relationship Type="http://schemas.openxmlformats.org/officeDocument/2006/relationships/hyperlink" Id="rId36" Target="https://doi.org/10.1007/s00198-016-3888-9" TargetMode="External" /><Relationship Type="http://schemas.openxmlformats.org/officeDocument/2006/relationships/hyperlink" Id="rId38" Target="https://doi.org/10.1007/s00223-018-0485-2" TargetMode="External" /><Relationship Type="http://schemas.openxmlformats.org/officeDocument/2006/relationships/hyperlink" Id="rId28" Target="https://doi.org/10.1007/s11926-008-0017-6" TargetMode="External" /><Relationship Type="http://schemas.openxmlformats.org/officeDocument/2006/relationships/hyperlink" Id="rId34" Target="https://doi.org/10.1016/j.bone.2018.09.020" TargetMode="External" /><Relationship Type="http://schemas.openxmlformats.org/officeDocument/2006/relationships/hyperlink" Id="rId32" Target="https://doi.org/10.1016/s0140-6736(17)32137-2" TargetMode="External" /><Relationship Type="http://schemas.openxmlformats.org/officeDocument/2006/relationships/hyperlink" Id="rId30" Target="https://doi.org/10.1056/nejm200105103441904"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07/s00198-016-3888-9" TargetMode="External" /><Relationship Type="http://schemas.openxmlformats.org/officeDocument/2006/relationships/hyperlink" Id="rId38" Target="https://doi.org/10.1007/s00223-018-0485-2" TargetMode="External" /><Relationship Type="http://schemas.openxmlformats.org/officeDocument/2006/relationships/hyperlink" Id="rId28" Target="https://doi.org/10.1007/s11926-008-0017-6" TargetMode="External" /><Relationship Type="http://schemas.openxmlformats.org/officeDocument/2006/relationships/hyperlink" Id="rId34" Target="https://doi.org/10.1016/j.bone.2018.09.020" TargetMode="External" /><Relationship Type="http://schemas.openxmlformats.org/officeDocument/2006/relationships/hyperlink" Id="rId32" Target="https://doi.org/10.1016/s0140-6736(17)32137-2" TargetMode="External" /><Relationship Type="http://schemas.openxmlformats.org/officeDocument/2006/relationships/hyperlink" Id="rId30" Target="https://doi.org/10.1056/nejm2001051034419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2021-02-28T18:20:28Z</dcterms:created>
  <dcterms:modified xsi:type="dcterms:W3CDTF">2021-02-28T18:20:28Z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