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w:t>
      </w:r>
      <w:r>
        <w:t xml:space="preserve"> </w:t>
      </w:r>
      <w:r>
        <w:t xml:space="preserve">[1]</w:t>
      </w:r>
      <w:r>
        <w:t xml:space="preserve">. It was estimated that in 2005, over 2 million incident fractures occurred in the United States, with hip fractures accounting for more than 70% of the costs. By 2025, annual fractures and costs could rise by almost 50%</w:t>
      </w:r>
      <w:r>
        <w:t xml:space="preserve"> </w:t>
      </w:r>
      <w:r>
        <w:t xml:space="preserve">[2]</w:t>
      </w:r>
      <w:r>
        <w:t xml:space="preserve">.</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w:t>
      </w:r>
      <w:r>
        <w:t xml:space="preserve"> </w:t>
      </w:r>
      <w:r>
        <w:t xml:space="preserve">[3]</w:t>
      </w:r>
      <w:r>
        <w:t xml:space="preserve"> </w:t>
      </w:r>
      <w:r>
        <w:t xml:space="preserve">and risedronate</w:t>
      </w:r>
      <w:r>
        <w:t xml:space="preserve"> </w:t>
      </w:r>
      <w:r>
        <w:t xml:space="preserve">[4]</w:t>
      </w:r>
      <w:r>
        <w:t xml:space="preserve">,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r>
        <w:t xml:space="preserve"> </w:t>
      </w:r>
      <w:r>
        <w:t xml:space="preserve">[5]</w:t>
      </w:r>
      <w:r>
        <w:t xml:space="preserve">.</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w:t>
      </w:r>
      <w:r>
        <w:t xml:space="preserve"> </w:t>
      </w:r>
      <w:r>
        <w:t xml:space="preserve">[6,7]</w:t>
      </w:r>
      <w:r>
        <w:t xml:space="preserve">,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(##REFERENCE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 (##REFERENCE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used a set of XXX negative control outcomes, to calibrate our results for unmeasured confounding (##REFEFRENCE). We derived relative effect estimates using Cox proportional hazards models only with treatment as a predictor. Absolute effect estimates were calculated based on the difference of the Kaplan-Meier estimates, on day 730 after treatment initiation.</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5.1</w:t>
      </w:r>
      <w:r>
        <w:t xml:space="preserve">).</w:t>
      </w:r>
    </w:p>
    <w:p>
      <w:pPr>
        <w:pStyle w:val="BodyText"/>
      </w:pPr>
      <w:r>
        <w:t xml:space="preserve">When assessing heterogeneity of treatment effect for hip fractur e, we estimated calibrated hazard ratios of 0.82 (0.64 to 1.05; 95% CI),</w:t>
      </w:r>
      <w:r>
        <w:t xml:space="preserve"> </w:t>
      </w:r>
      <w:r>
        <w:t xml:space="preserve">0.75 (0.58 to 0.97; 95% CI) and 0.84 (0.63 to 1.12; 95% CI) within the highest risk quarter of MDCR, OPTUM_DOD and PANTHER respectively. This translated in absolute risk reduction of 1.23% (-0.15% to 2.62%; 95% CI), 1.61% (0.30% to 2.93%; 95% CI), 0.31% (-0.74% to 1.35%; 95% CI). The random effects meta-analytic calibrated hazard ratio within the highest risk quarter was 0.80 (0.69 to 0.93; 95% CI) across the 3 databases.</w:t>
      </w:r>
    </w:p>
    <w:p>
      <w:r>
        <w:br w:type="page"/>
      </w:r>
    </w:p>
    <w:p>
      <w:pPr>
        <w:pStyle w:val="Heading1"/>
      </w:pPr>
      <w:bookmarkStart w:id="25" w:name="discussion"/>
      <w:r>
        <w:t xml:space="preserve">4	Discussion</w:t>
      </w:r>
      <w:bookmarkEnd w:id="25"/>
    </w:p>
    <w:p>
      <w:r>
        <w:br w:type="page"/>
      </w:r>
    </w:p>
    <w:p>
      <w:pPr>
        <w:pStyle w:val="Heading1"/>
      </w:pPr>
      <w:bookmarkStart w:id="26" w:name="references"/>
      <w:r>
        <w:t xml:space="preserve">5	References</w:t>
      </w:r>
      <w:bookmarkEnd w:id="26"/>
    </w:p>
    <w:p>
      <w:pPr>
        <w:pStyle w:val="FirstParagraph"/>
      </w:pPr>
    </w:p>
    <w:bookmarkStart w:id="40" w:name="refs"/>
    <w:bookmarkStart w:id="27" w:name="ref-wright2017impact"/>
    <w:p>
      <w:pPr>
        <w:pStyle w:val="Bibliography"/>
      </w:pPr>
      <w:r>
        <w:t xml:space="preserve">1 Wright N, Saag K, Dawson-Hughes B</w:t>
      </w:r>
      <w:r>
        <w:t xml:space="preserve"> </w:t>
      </w:r>
      <w:r>
        <w:rPr>
          <w:i/>
        </w:rPr>
        <w:t xml:space="preserve">et al.</w:t>
      </w:r>
      <w:r>
        <w:t xml:space="preserve"> </w:t>
      </w:r>
      <w:r>
        <w:t xml:space="preserve">The impact of the new national bone health alliance (nbha) diagnostic criteria on the prevalence of osteoporosis in the usa.</w:t>
      </w:r>
      <w:r>
        <w:t xml:space="preserve"> </w:t>
      </w:r>
      <w:r>
        <w:rPr>
          <w:i/>
        </w:rPr>
        <w:t xml:space="preserve">Osteoporosis International</w:t>
      </w:r>
      <w:r>
        <w:t xml:space="preserve"> </w:t>
      </w:r>
      <w:r>
        <w:t xml:space="preserve">2017;</w:t>
      </w:r>
      <w:r>
        <w:rPr>
          <w:b/>
        </w:rPr>
        <w:t xml:space="preserve">28</w:t>
      </w:r>
      <w:r>
        <w:t xml:space="preserve">:1225–32.</w:t>
      </w:r>
    </w:p>
    <w:bookmarkEnd w:id="27"/>
    <w:bookmarkStart w:id="29" w:name="ref-Cole2008"/>
    <w:p>
      <w:pPr>
        <w:pStyle w:val="Bibliography"/>
      </w:pPr>
      <w:r>
        <w:t xml:space="preserve">2 Cole ZA, Dennison EM, Cooper C. Osteoporosis epidemiology update.</w:t>
      </w:r>
      <w:r>
        <w:t xml:space="preserve"> </w:t>
      </w:r>
      <w:r>
        <w:rPr>
          <w:i/>
        </w:rPr>
        <w:t xml:space="preserve">Current Rheumatology Reports</w:t>
      </w:r>
      <w:r>
        <w:t xml:space="preserve"> </w:t>
      </w:r>
      <w:r>
        <w:t xml:space="preserve">2008;</w:t>
      </w:r>
      <w:r>
        <w:rPr>
          <w:b/>
        </w:rPr>
        <w:t xml:space="preserve">10</w:t>
      </w:r>
      <w:r>
        <w:t xml:space="preserve">:92–6. doi:</w:t>
      </w:r>
      <w:hyperlink r:id="rId28">
        <w:r>
          <w:rPr>
            <w:rStyle w:val="Hyperlink"/>
          </w:rPr>
          <w:t xml:space="preserve">10.1007/s11926-008-0017-6</w:t>
        </w:r>
      </w:hyperlink>
    </w:p>
    <w:bookmarkEnd w:id="29"/>
    <w:bookmarkStart w:id="31" w:name="ref-Neer2001"/>
    <w:p>
      <w:pPr>
        <w:pStyle w:val="Bibliography"/>
      </w:pPr>
      <w:r>
        <w:t xml:space="preserve">3 Neer RM, Arnaud CD, Zanchetta JR</w:t>
      </w:r>
      <w:r>
        <w:t xml:space="preserve"> </w:t>
      </w:r>
      <w:r>
        <w:rPr>
          <w:i/>
        </w:rPr>
        <w:t xml:space="preserve">et al.</w:t>
      </w:r>
      <w:r>
        <w:t xml:space="preserve"> </w:t>
      </w:r>
      <w:r>
        <w:t xml:space="preserve">Effect of parathyroid hormone (1-34) on fractures and bone mineral density in postmenopausal women with osteoporosis.</w:t>
      </w:r>
      <w:r>
        <w:t xml:space="preserve"> </w:t>
      </w:r>
      <w:r>
        <w:rPr>
          <w:i/>
        </w:rPr>
        <w:t xml:space="preserve">New England Journal of Medicine</w:t>
      </w:r>
      <w:r>
        <w:t xml:space="preserve"> </w:t>
      </w:r>
      <w:r>
        <w:t xml:space="preserve">2001;</w:t>
      </w:r>
      <w:r>
        <w:rPr>
          <w:b/>
        </w:rPr>
        <w:t xml:space="preserve">344</w:t>
      </w:r>
      <w:r>
        <w:t xml:space="preserve">:1434–41. doi:</w:t>
      </w:r>
      <w:hyperlink r:id="rId30">
        <w:r>
          <w:rPr>
            <w:rStyle w:val="Hyperlink"/>
          </w:rPr>
          <w:t xml:space="preserve">10.1056/nejm200105103441904</w:t>
        </w:r>
      </w:hyperlink>
    </w:p>
    <w:bookmarkEnd w:id="31"/>
    <w:bookmarkStart w:id="33" w:name="ref-Kendler2018"/>
    <w:p>
      <w:pPr>
        <w:pStyle w:val="Bibliography"/>
      </w:pPr>
      <w:r>
        <w:t xml:space="preserve">4 Kendler DL, Marin F, Zerbini CAF</w:t>
      </w:r>
      <w:r>
        <w:t xml:space="preserve"> </w:t>
      </w:r>
      <w:r>
        <w:rPr>
          <w:i/>
        </w:rPr>
        <w:t xml:space="preserve">et al.</w:t>
      </w:r>
      <w:r>
        <w:t xml:space="preserve"> </w:t>
      </w:r>
      <w:r>
        <w:t xml:space="preserve">Effects of teriparatide and risedronate on new fractures in post-menopausal women with severe osteoporosis (VERO): A multicentre, double-blind, double-dummy, randomised controlled trial.</w:t>
      </w:r>
      <w:r>
        <w:t xml:space="preserve"> </w:t>
      </w:r>
      <w:r>
        <w:rPr>
          <w:i/>
        </w:rPr>
        <w:t xml:space="preserve">The Lancet</w:t>
      </w:r>
      <w:r>
        <w:t xml:space="preserve"> </w:t>
      </w:r>
      <w:r>
        <w:t xml:space="preserve">2018;</w:t>
      </w:r>
      <w:r>
        <w:rPr>
          <w:b/>
        </w:rPr>
        <w:t xml:space="preserve">391</w:t>
      </w:r>
      <w:r>
        <w:t xml:space="preserve">:230–40. doi:</w:t>
      </w:r>
      <w:hyperlink r:id="rId32">
        <w:r>
          <w:rPr>
            <w:rStyle w:val="Hyperlink"/>
          </w:rPr>
          <w:t xml:space="preserve">10.1016/s0140-6736(17)32137-2</w:t>
        </w:r>
      </w:hyperlink>
    </w:p>
    <w:bookmarkEnd w:id="33"/>
    <w:bookmarkStart w:id="35" w:name="ref-DezPrez2019"/>
    <w:p>
      <w:pPr>
        <w:pStyle w:val="Bibliography"/>
      </w:pPr>
      <w:r>
        <w:t xml:space="preserve">5 Díez-Pérez A, Marin F, Eriksen EF</w:t>
      </w:r>
      <w:r>
        <w:t xml:space="preserve"> </w:t>
      </w:r>
      <w:r>
        <w:rPr>
          <w:i/>
        </w:rPr>
        <w:t xml:space="preserve">et al.</w:t>
      </w:r>
      <w:r>
        <w:t xml:space="preserve"> </w:t>
      </w:r>
      <w:r>
        <w:t xml:space="preserve">Effects of teriparatide on hip and upper limb fractures in patients with osteoporosis: A systematic review and meta-analysis.</w:t>
      </w:r>
      <w:r>
        <w:t xml:space="preserve"> </w:t>
      </w:r>
      <w:r>
        <w:rPr>
          <w:i/>
        </w:rPr>
        <w:t xml:space="preserve">Bone</w:t>
      </w:r>
      <w:r>
        <w:t xml:space="preserve"> </w:t>
      </w:r>
      <w:r>
        <w:t xml:space="preserve">2019;</w:t>
      </w:r>
      <w:r>
        <w:rPr>
          <w:b/>
        </w:rPr>
        <w:t xml:space="preserve">120</w:t>
      </w:r>
      <w:r>
        <w:t xml:space="preserve">:1–8. doi:</w:t>
      </w:r>
      <w:hyperlink r:id="rId34">
        <w:r>
          <w:rPr>
            <w:rStyle w:val="Hyperlink"/>
          </w:rPr>
          <w:t xml:space="preserve">10.1016/j.bone.2018.09.020</w:t>
        </w:r>
      </w:hyperlink>
    </w:p>
    <w:bookmarkEnd w:id="35"/>
    <w:bookmarkStart w:id="37" w:name="ref-Burge2016"/>
    <w:p>
      <w:pPr>
        <w:pStyle w:val="Bibliography"/>
      </w:pPr>
      <w:r>
        <w:t xml:space="preserve">6 Burge RT, Disch DP, Gelwicks S</w:t>
      </w:r>
      <w:r>
        <w:t xml:space="preserve"> </w:t>
      </w:r>
      <w:r>
        <w:rPr>
          <w:i/>
        </w:rPr>
        <w:t xml:space="preserve">et al.</w:t>
      </w:r>
      <w:r>
        <w:t xml:space="preserve"> </w:t>
      </w:r>
      <w:r>
        <w:t xml:space="preserve">Hip and other fragility fracture incidence in real-world teriparatide-treated patients in the united states.</w:t>
      </w:r>
      <w:r>
        <w:t xml:space="preserve"> </w:t>
      </w:r>
      <w:r>
        <w:rPr>
          <w:i/>
        </w:rPr>
        <w:t xml:space="preserve">Osteoporosis International</w:t>
      </w:r>
      <w:r>
        <w:t xml:space="preserve"> </w:t>
      </w:r>
      <w:r>
        <w:t xml:space="preserve">2016;</w:t>
      </w:r>
      <w:r>
        <w:rPr>
          <w:b/>
        </w:rPr>
        <w:t xml:space="preserve">28</w:t>
      </w:r>
      <w:r>
        <w:t xml:space="preserve">:799–809. doi:</w:t>
      </w:r>
      <w:hyperlink r:id="rId36">
        <w:r>
          <w:rPr>
            <w:rStyle w:val="Hyperlink"/>
          </w:rPr>
          <w:t xml:space="preserve">10.1007/s00198-016-3888-9</w:t>
        </w:r>
      </w:hyperlink>
    </w:p>
    <w:bookmarkEnd w:id="37"/>
    <w:bookmarkStart w:id="39" w:name="ref-Silverman2018"/>
    <w:p>
      <w:pPr>
        <w:pStyle w:val="Bibliography"/>
      </w:pPr>
      <w:r>
        <w:t xml:space="preserve">7 Silverman S, Langdahl BL, Fujiwara S</w:t>
      </w:r>
      <w:r>
        <w:t xml:space="preserve"> </w:t>
      </w:r>
      <w:r>
        <w:rPr>
          <w:i/>
        </w:rPr>
        <w:t xml:space="preserve">et al.</w:t>
      </w:r>
      <w:r>
        <w:t xml:space="preserve"> </w:t>
      </w:r>
      <w:r>
        <w:t xml:space="preserve">Reduction of hip and other fractures in patients receiving teriparatide in real-world clinical practice: Integrated analysis of four prospective observational studies.</w:t>
      </w:r>
      <w:r>
        <w:t xml:space="preserve"> </w:t>
      </w:r>
      <w:r>
        <w:rPr>
          <w:i/>
        </w:rPr>
        <w:t xml:space="preserve">Calcified Tissue International</w:t>
      </w:r>
      <w:r>
        <w:t xml:space="preserve"> </w:t>
      </w:r>
      <w:r>
        <w:t xml:space="preserve">2018;</w:t>
      </w:r>
      <w:r>
        <w:rPr>
          <w:b/>
        </w:rPr>
        <w:t xml:space="preserve">104</w:t>
      </w:r>
      <w:r>
        <w:t xml:space="preserve">:193–200. doi:</w:t>
      </w:r>
      <w:hyperlink r:id="rId38">
        <w:r>
          <w:rPr>
            <w:rStyle w:val="Hyperlink"/>
          </w:rPr>
          <w:t xml:space="preserve">10.1007/s00223-018-0485-2</w:t>
        </w:r>
      </w:hyperlink>
    </w:p>
    <w:bookmarkEnd w:id="39"/>
    <w:bookmarkEnd w:id="40"/>
    <w:p>
      <w:pPr>
        <w:pStyle w:val="BodyText"/>
      </w:pPr>
    </w:p>
    <w:p>
      <w:r>
        <w:br w:type="page"/>
      </w:r>
    </w:p>
    <w:p>
      <w:pPr>
        <w:pStyle w:val="CaptionedFigure"/>
      </w:pPr>
      <w:r>
        <w:drawing>
          <wp:inline>
            <wp:extent cx="5943600" cy="2547257"/>
            <wp:effectExtent b="0" l="0" r="0" t="0"/>
            <wp:docPr descr="Figure 5.1: This is a caption" title="" id="1" name="Picture"/>
            <a:graphic>
              <a:graphicData uri="http://schemas.openxmlformats.org/drawingml/2006/picture">
                <pic:pic>
                  <pic:nvPicPr>
                    <pic:cNvPr descr="/home/arekkas/Documents/Projects/osteoporosis/figures/plotMeta.pdf" id="0" name="Picture"/>
                    <pic:cNvPicPr>
                      <a:picLocks noChangeArrowheads="1" noChangeAspect="1"/>
                    </pic:cNvPicPr>
                  </pic:nvPicPr>
                  <pic:blipFill>
                    <a:blip r:embed="rId41"/>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r>
        <w:t xml:space="preserve">Figure 5.1: This is a caption</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41" Target="media/rId41.pdf" /><Relationship Type="http://schemas.openxmlformats.org/officeDocument/2006/relationships/hyperlink" Id="rId36" Target="https://doi.org/10.1007/s00198-016-3888-9" TargetMode="External" /><Relationship Type="http://schemas.openxmlformats.org/officeDocument/2006/relationships/hyperlink" Id="rId38" Target="https://doi.org/10.1007/s00223-018-0485-2" TargetMode="External" /><Relationship Type="http://schemas.openxmlformats.org/officeDocument/2006/relationships/hyperlink" Id="rId28" Target="https://doi.org/10.1007/s11926-008-0017-6" TargetMode="External" /><Relationship Type="http://schemas.openxmlformats.org/officeDocument/2006/relationships/hyperlink" Id="rId34" Target="https://doi.org/10.1016/j.bone.2018.09.020" TargetMode="External" /><Relationship Type="http://schemas.openxmlformats.org/officeDocument/2006/relationships/hyperlink" Id="rId32" Target="https://doi.org/10.1016/s0140-6736(17)32137-2" TargetMode="External" /><Relationship Type="http://schemas.openxmlformats.org/officeDocument/2006/relationships/hyperlink" Id="rId30" Target="https://doi.org/10.1056/nejm200105103441904"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7/s00198-016-3888-9" TargetMode="External" /><Relationship Type="http://schemas.openxmlformats.org/officeDocument/2006/relationships/hyperlink" Id="rId38" Target="https://doi.org/10.1007/s00223-018-0485-2" TargetMode="External" /><Relationship Type="http://schemas.openxmlformats.org/officeDocument/2006/relationships/hyperlink" Id="rId28" Target="https://doi.org/10.1007/s11926-008-0017-6" TargetMode="External" /><Relationship Type="http://schemas.openxmlformats.org/officeDocument/2006/relationships/hyperlink" Id="rId34" Target="https://doi.org/10.1016/j.bone.2018.09.020" TargetMode="External" /><Relationship Type="http://schemas.openxmlformats.org/officeDocument/2006/relationships/hyperlink" Id="rId32" Target="https://doi.org/10.1016/s0140-6736(17)32137-2" TargetMode="External" /><Relationship Type="http://schemas.openxmlformats.org/officeDocument/2006/relationships/hyperlink" Id="rId30" Target="https://doi.org/10.1056/nejm200105103441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2021-02-28T16:11:15Z</dcterms:created>
  <dcterms:modified xsi:type="dcterms:W3CDTF">2021-02-28T16:11:15Z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