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they can be implemented in any database, provided that it</w:t>
      </w:r>
      <w:r>
        <w:rPr>
          <w:i/>
          <w:b/>
        </w:rPr>
        <w:t xml:space="preserve"> </w:t>
      </w:r>
      <w:r>
        <w:rPr>
          <w:i/>
          <w:b/>
        </w:rPr>
        <w:t xml:space="preserve">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30" w:name="step-5-evaluation"/>
      <w:r>
        <w:t xml:space="preserve">2.5	Step 5: Evaluation</w:t>
      </w:r>
      <w:bookmarkEnd w:id="30"/>
    </w:p>
    <w:p>
      <w:pPr>
        <w:pStyle w:val="FirstParagraph"/>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Heading2"/>
      </w:pPr>
      <w:bookmarkStart w:id="31" w:name="step-6-presentation-of-results"/>
      <w:r>
        <w:t xml:space="preserve">2.6	Step 6: Presentation of results</w:t>
      </w:r>
      <w:bookmarkEnd w:id="31"/>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2" w:name="results"/>
      <w:r>
        <w:t xml:space="preserve">3	Results</w:t>
      </w:r>
      <w:bookmarkEnd w:id="32"/>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3" w:name="X9a13c38e6a8499ec40a4a5828fbd07963eef224"/>
      <w:r>
        <w:t xml:space="preserve">3.1	Step 1: General definition of the problem</w:t>
      </w:r>
      <w:bookmarkEnd w:id="33"/>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4" w:name="step-2-identification-of-the-databases"/>
      <w:r>
        <w:t xml:space="preserve">3.2	Step 2: Identification of the databases</w:t>
      </w:r>
      <w:bookmarkEnd w:id="34"/>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5" w:name="step-3-prediction-1"/>
      <w:r>
        <w:t xml:space="preserve">3.3	Step 3: Prediction</w:t>
      </w:r>
      <w:bookmarkEnd w:id="35"/>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6" w:name="step-4-estimation-1"/>
      <w:r>
        <w:t xml:space="preserve">3.4	Step 4: Estimation</w:t>
      </w:r>
      <w:bookmarkEnd w:id="36"/>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7" w:name="X27fd54aa5334e1e877819cb9f41899728639f0d"/>
      <w:r>
        <w:t xml:space="preserve">3.5	Step 5: Result presentation and evaluation</w:t>
      </w:r>
      <w:bookmarkEnd w:id="37"/>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1">
        <w:r>
          <w:rPr>
            <w:rStyle w:val="Hyperlink"/>
          </w:rPr>
          <w:t xml:space="preserve">https://data.ohdsi.org/AceBeta9Outcomes</w:t>
        </w:r>
      </w:hyperlink>
      <w:r>
        <w:t xml:space="preserve">).</w:t>
      </w:r>
    </w:p>
    <w:p>
      <w:pPr>
        <w:pStyle w:val="Heading1"/>
      </w:pPr>
      <w:bookmarkStart w:id="42" w:name="discussion"/>
      <w:r>
        <w:t xml:space="preserve">4	Discussion</w:t>
      </w:r>
      <w:bookmarkEnd w:id="42"/>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3" w:name="references"/>
      <w:r>
        <w:t xml:space="preserve">5	References</w:t>
      </w:r>
      <w:bookmarkEnd w:id="43"/>
    </w:p>
    <w:p>
      <w:pPr>
        <w:pStyle w:val="FirstParagraph"/>
      </w:pPr>
    </w:p>
    <w:bookmarkStart w:id="108" w:name="refs"/>
    <w:bookmarkStart w:id="45"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4">
        <w:r>
          <w:rPr>
            <w:rStyle w:val="Hyperlink"/>
          </w:rPr>
          <w:t xml:space="preserve">10.1111/j.0887-378x.2004.00327.x</w:t>
        </w:r>
      </w:hyperlink>
    </w:p>
    <w:bookmarkEnd w:id="45"/>
    <w:bookmarkStart w:id="47"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6">
        <w:r>
          <w:rPr>
            <w:rStyle w:val="Hyperlink"/>
          </w:rPr>
          <w:t xml:space="preserve">10.1001/jama.1991.03470010097038</w:t>
        </w:r>
      </w:hyperlink>
    </w:p>
    <w:bookmarkEnd w:id="47"/>
    <w:bookmarkStart w:id="49"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8">
        <w:r>
          <w:rPr>
            <w:rStyle w:val="Hyperlink"/>
          </w:rPr>
          <w:t xml:space="preserve">10.1111/j.1475-6773.2009.01064.x</w:t>
        </w:r>
      </w:hyperlink>
    </w:p>
    <w:bookmarkEnd w:id="49"/>
    <w:bookmarkStart w:id="51"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50">
        <w:r>
          <w:rPr>
            <w:rStyle w:val="Hyperlink"/>
          </w:rPr>
          <w:t xml:space="preserve">10.1016/j.jclinepi.2013.02.009</w:t>
        </w:r>
      </w:hyperlink>
    </w:p>
    <w:bookmarkEnd w:id="51"/>
    <w:bookmarkStart w:id="53"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2">
        <w:r>
          <w:rPr>
            <w:rStyle w:val="Hyperlink"/>
          </w:rPr>
          <w:t xml:space="preserve">10.1186/s12874-020-01145-1</w:t>
        </w:r>
      </w:hyperlink>
    </w:p>
    <w:bookmarkEnd w:id="53"/>
    <w:bookmarkStart w:id="55"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4">
        <w:r>
          <w:rPr>
            <w:rStyle w:val="Hyperlink"/>
          </w:rPr>
          <w:t xml:space="preserve">10.1186/1745-6215-11-85</w:t>
        </w:r>
      </w:hyperlink>
    </w:p>
    <w:bookmarkEnd w:id="55"/>
    <w:bookmarkStart w:id="57"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6">
        <w:r>
          <w:rPr>
            <w:rStyle w:val="Hyperlink"/>
          </w:rPr>
          <w:t xml:space="preserve">10.1136/bmj.k4245</w:t>
        </w:r>
      </w:hyperlink>
    </w:p>
    <w:bookmarkEnd w:id="57"/>
    <w:bookmarkStart w:id="59"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8">
        <w:r>
          <w:rPr>
            <w:rStyle w:val="Hyperlink"/>
          </w:rPr>
          <w:t xml:space="preserve">10.1093/jamia/ocx080</w:t>
        </w:r>
      </w:hyperlink>
    </w:p>
    <w:bookmarkEnd w:id="59"/>
    <w:bookmarkStart w:id="61"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60">
        <w:r>
          <w:rPr>
            <w:rStyle w:val="Hyperlink"/>
          </w:rPr>
          <w:t xml:space="preserve">10.1001/jama.2014.4364</w:t>
        </w:r>
      </w:hyperlink>
    </w:p>
    <w:bookmarkEnd w:id="61"/>
    <w:bookmarkStart w:id="62"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2"/>
    <w:bookmarkStart w:id="64"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3">
        <w:r>
          <w:rPr>
            <w:rStyle w:val="Hyperlink"/>
          </w:rPr>
          <w:t xml:space="preserve">10.1136/amiajnl-2011-000376</w:t>
        </w:r>
      </w:hyperlink>
    </w:p>
    <w:bookmarkEnd w:id="64"/>
    <w:bookmarkStart w:id="66"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5">
        <w:r>
          <w:rPr>
            <w:rStyle w:val="Hyperlink"/>
          </w:rPr>
          <w:t xml:space="preserve">10.1093/jamia/ocy032</w:t>
        </w:r>
      </w:hyperlink>
    </w:p>
    <w:bookmarkEnd w:id="66"/>
    <w:bookmarkStart w:id="68"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7">
        <w:r>
          <w:rPr>
            <w:rStyle w:val="Hyperlink"/>
          </w:rPr>
          <w:t xml:space="preserve">10.1007/s40264-013-0099-6</w:t>
        </w:r>
      </w:hyperlink>
    </w:p>
    <w:bookmarkEnd w:id="68"/>
    <w:bookmarkStart w:id="70"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9">
        <w:r>
          <w:rPr>
            <w:rStyle w:val="Hyperlink"/>
          </w:rPr>
          <w:t xml:space="preserve">10.1186/s12916-014-0241-z</w:t>
        </w:r>
      </w:hyperlink>
    </w:p>
    <w:bookmarkEnd w:id="70"/>
    <w:bookmarkStart w:id="72"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1">
        <w:r>
          <w:rPr>
            <w:rStyle w:val="Hyperlink"/>
          </w:rPr>
          <w:t xml:space="preserve">10.7326/m14-0698</w:t>
        </w:r>
      </w:hyperlink>
    </w:p>
    <w:bookmarkEnd w:id="72"/>
    <w:bookmarkStart w:id="74"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3">
        <w:r>
          <w:rPr>
            <w:rStyle w:val="Hyperlink"/>
          </w:rPr>
          <w:t xml:space="preserve">10.1161/circoutcomes.113.000497</w:t>
        </w:r>
      </w:hyperlink>
    </w:p>
    <w:bookmarkEnd w:id="74"/>
    <w:bookmarkStart w:id="76"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5">
        <w:r>
          <w:rPr>
            <w:rStyle w:val="Hyperlink"/>
          </w:rPr>
          <w:t xml:space="preserve">10.1016/j.jclinepi.2019.05.029</w:t>
        </w:r>
      </w:hyperlink>
    </w:p>
    <w:bookmarkEnd w:id="76"/>
    <w:bookmarkStart w:id="78"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7">
        <w:r>
          <w:rPr>
            <w:rStyle w:val="Hyperlink"/>
          </w:rPr>
          <w:t xml:space="preserve">10.1080/00273171.2011.568786</w:t>
        </w:r>
      </w:hyperlink>
    </w:p>
    <w:bookmarkEnd w:id="78"/>
    <w:bookmarkStart w:id="80"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9">
        <w:r>
          <w:rPr>
            <w:rStyle w:val="Hyperlink"/>
          </w:rPr>
          <w:t xml:space="preserve">10.1093/ije/dyw118</w:t>
        </w:r>
      </w:hyperlink>
    </w:p>
    <w:bookmarkEnd w:id="80"/>
    <w:bookmarkStart w:id="81"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1"/>
    <w:bookmarkStart w:id="83"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2">
        <w:r>
          <w:rPr>
            <w:rStyle w:val="Hyperlink"/>
          </w:rPr>
          <w:t xml:space="preserve">10.1161/hyp.0000000000000065</w:t>
        </w:r>
      </w:hyperlink>
    </w:p>
    <w:bookmarkEnd w:id="83"/>
    <w:bookmarkStart w:id="85"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4">
        <w:r>
          <w:rPr>
            <w:rStyle w:val="Hyperlink"/>
          </w:rPr>
          <w:t xml:space="preserve">10.1093/eurheartj/ehy339</w:t>
        </w:r>
      </w:hyperlink>
    </w:p>
    <w:bookmarkEnd w:id="85"/>
    <w:bookmarkStart w:id="87"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6">
        <w:r>
          <w:rPr>
            <w:rStyle w:val="Hyperlink"/>
          </w:rPr>
          <w:t xml:space="preserve">10.1503/cmaj.060110</w:t>
        </w:r>
      </w:hyperlink>
    </w:p>
    <w:bookmarkEnd w:id="87"/>
    <w:bookmarkStart w:id="89"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8">
        <w:r>
          <w:rPr>
            <w:rStyle w:val="Hyperlink"/>
          </w:rPr>
          <w:t xml:space="preserve">10.1016/j.cjca.2020.02.086</w:t>
        </w:r>
      </w:hyperlink>
    </w:p>
    <w:bookmarkEnd w:id="89"/>
    <w:bookmarkStart w:id="91"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90">
        <w:r>
          <w:rPr>
            <w:rStyle w:val="Hyperlink"/>
          </w:rPr>
          <w:t xml:space="preserve">10.1016/s0140-6736(19)32317-7</w:t>
        </w:r>
      </w:hyperlink>
    </w:p>
    <w:bookmarkEnd w:id="91"/>
    <w:bookmarkStart w:id="93"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2">
        <w:r>
          <w:rPr>
            <w:rStyle w:val="Hyperlink"/>
          </w:rPr>
          <w:t xml:space="preserve">10.1016/j.ijcard.2007.01.069</w:t>
        </w:r>
      </w:hyperlink>
    </w:p>
    <w:bookmarkEnd w:id="93"/>
    <w:bookmarkStart w:id="95"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4">
        <w:r>
          <w:rPr>
            <w:rStyle w:val="Hyperlink"/>
          </w:rPr>
          <w:t xml:space="preserve">10.7326/m18-3667</w:t>
        </w:r>
      </w:hyperlink>
    </w:p>
    <w:bookmarkEnd w:id="95"/>
    <w:bookmarkStart w:id="97"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6">
        <w:r>
          <w:rPr>
            <w:rStyle w:val="Hyperlink"/>
          </w:rPr>
          <w:t xml:space="preserve">10.7326/M18-3668</w:t>
        </w:r>
      </w:hyperlink>
    </w:p>
    <w:bookmarkEnd w:id="97"/>
    <w:bookmarkStart w:id="99"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8">
        <w:r>
          <w:rPr>
            <w:rStyle w:val="Hyperlink"/>
          </w:rPr>
          <w:t xml:space="preserve">10.1007/s11121-012-0339-5</w:t>
        </w:r>
      </w:hyperlink>
    </w:p>
    <w:bookmarkEnd w:id="99"/>
    <w:bookmarkStart w:id="101"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100">
        <w:r>
          <w:rPr>
            <w:rStyle w:val="Hyperlink"/>
          </w:rPr>
          <w:t xml:space="preserve">https://doi.org/10.1002/sim.5925</w:t>
        </w:r>
      </w:hyperlink>
    </w:p>
    <w:bookmarkEnd w:id="101"/>
    <w:bookmarkStart w:id="103"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2">
        <w:r>
          <w:rPr>
            <w:rStyle w:val="Hyperlink"/>
          </w:rPr>
          <w:t xml:space="preserve">10.1073/pnas.1708282114</w:t>
        </w:r>
      </w:hyperlink>
    </w:p>
    <w:bookmarkEnd w:id="103"/>
    <w:bookmarkStart w:id="105"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4">
        <w:r>
          <w:rPr>
            <w:rStyle w:val="Hyperlink"/>
          </w:rPr>
          <w:t xml:space="preserve">10.1002/pds.3231</w:t>
        </w:r>
      </w:hyperlink>
    </w:p>
    <w:bookmarkEnd w:id="105"/>
    <w:bookmarkStart w:id="107"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6">
        <w:r>
          <w:rPr>
            <w:rStyle w:val="Hyperlink"/>
          </w:rPr>
          <w:t xml:space="preserve">10.1093/biomet/asn004</w:t>
        </w:r>
      </w:hyperlink>
    </w:p>
    <w:bookmarkEnd w:id="107"/>
    <w:bookmarkEnd w:id="10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7"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9"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1" Target="https://data.ohdsi.org/AceBeta9Outcomes" TargetMode="External" /><Relationship Type="http://schemas.openxmlformats.org/officeDocument/2006/relationships/hyperlink" Id="rId46" Target="https://doi.org/10.1001/jama.1991.03470010097038" TargetMode="External" /><Relationship Type="http://schemas.openxmlformats.org/officeDocument/2006/relationships/hyperlink" Id="rId60" Target="https://doi.org/10.1001/jama.2014.4364" TargetMode="External" /><Relationship Type="http://schemas.openxmlformats.org/officeDocument/2006/relationships/hyperlink" Id="rId104" Target="https://doi.org/10.1002/pds.3231" TargetMode="External" /><Relationship Type="http://schemas.openxmlformats.org/officeDocument/2006/relationships/hyperlink" Id="rId98" Target="https://doi.org/10.1007/s11121-012-0339-5" TargetMode="External" /><Relationship Type="http://schemas.openxmlformats.org/officeDocument/2006/relationships/hyperlink" Id="rId67" Target="https://doi.org/10.1007/s40264-013-0099-6" TargetMode="External" /><Relationship Type="http://schemas.openxmlformats.org/officeDocument/2006/relationships/hyperlink" Id="rId88" Target="https://doi.org/10.1016/j.cjca.2020.02.086" TargetMode="External" /><Relationship Type="http://schemas.openxmlformats.org/officeDocument/2006/relationships/hyperlink" Id="rId92" Target="https://doi.org/10.1016/j.ijcard.2007.01.069" TargetMode="External" /><Relationship Type="http://schemas.openxmlformats.org/officeDocument/2006/relationships/hyperlink" Id="rId50" Target="https://doi.org/10.1016/j.jclinepi.2013.02.009" TargetMode="External" /><Relationship Type="http://schemas.openxmlformats.org/officeDocument/2006/relationships/hyperlink" Id="rId75" Target="https://doi.org/10.1016/j.jclinepi.2019.05.029" TargetMode="External" /><Relationship Type="http://schemas.openxmlformats.org/officeDocument/2006/relationships/hyperlink" Id="rId90" Target="https://doi.org/10.1016/s0140-6736(19)32317-7" TargetMode="External" /><Relationship Type="http://schemas.openxmlformats.org/officeDocument/2006/relationships/hyperlink" Id="rId102" Target="https://doi.org/10.1073/pnas.1708282114" TargetMode="External" /><Relationship Type="http://schemas.openxmlformats.org/officeDocument/2006/relationships/hyperlink" Id="rId77" Target="https://doi.org/10.1080/00273171.2011.568786" TargetMode="External" /><Relationship Type="http://schemas.openxmlformats.org/officeDocument/2006/relationships/hyperlink" Id="rId106" Target="https://doi.org/10.1093/biomet/asn004" TargetMode="External" /><Relationship Type="http://schemas.openxmlformats.org/officeDocument/2006/relationships/hyperlink" Id="rId84" Target="https://doi.org/10.1093/eurheartj/ehy339" TargetMode="External" /><Relationship Type="http://schemas.openxmlformats.org/officeDocument/2006/relationships/hyperlink" Id="rId79" Target="https://doi.org/10.1093/ije/dyw118" TargetMode="External" /><Relationship Type="http://schemas.openxmlformats.org/officeDocument/2006/relationships/hyperlink" Id="rId58" Target="https://doi.org/10.1093/jamia/ocx080" TargetMode="External" /><Relationship Type="http://schemas.openxmlformats.org/officeDocument/2006/relationships/hyperlink" Id="rId65" Target="https://doi.org/10.1093/jamia/ocy032" TargetMode="External" /><Relationship Type="http://schemas.openxmlformats.org/officeDocument/2006/relationships/hyperlink" Id="rId44" Target="https://doi.org/10.1111/j.0887-378x.2004.00327.x" TargetMode="External" /><Relationship Type="http://schemas.openxmlformats.org/officeDocument/2006/relationships/hyperlink" Id="rId48" Target="https://doi.org/10.1111/j.1475-6773.2009.01064.x" TargetMode="External" /><Relationship Type="http://schemas.openxmlformats.org/officeDocument/2006/relationships/hyperlink" Id="rId63" Target="https://doi.org/10.1136/amiajnl-2011-000376" TargetMode="External" /><Relationship Type="http://schemas.openxmlformats.org/officeDocument/2006/relationships/hyperlink" Id="rId56" Target="https://doi.org/10.1136/bmj.k4245" TargetMode="External" /><Relationship Type="http://schemas.openxmlformats.org/officeDocument/2006/relationships/hyperlink" Id="rId73" Target="https://doi.org/10.1161/circoutcomes.113.000497" TargetMode="External" /><Relationship Type="http://schemas.openxmlformats.org/officeDocument/2006/relationships/hyperlink" Id="rId82" Target="https://doi.org/10.1161/hyp.0000000000000065" TargetMode="External" /><Relationship Type="http://schemas.openxmlformats.org/officeDocument/2006/relationships/hyperlink" Id="rId54" Target="https://doi.org/10.1186/1745-6215-11-85" TargetMode="External" /><Relationship Type="http://schemas.openxmlformats.org/officeDocument/2006/relationships/hyperlink" Id="rId52" Target="https://doi.org/10.1186/s12874-020-01145-1" TargetMode="External" /><Relationship Type="http://schemas.openxmlformats.org/officeDocument/2006/relationships/hyperlink" Id="rId69" Target="https://doi.org/10.1186/s12916-014-0241-z" TargetMode="External" /><Relationship Type="http://schemas.openxmlformats.org/officeDocument/2006/relationships/hyperlink" Id="rId86" Target="https://doi.org/10.1503/cmaj.060110" TargetMode="External" /><Relationship Type="http://schemas.openxmlformats.org/officeDocument/2006/relationships/hyperlink" Id="rId96" Target="https://doi.org/10.7326/M18-3668" TargetMode="External" /><Relationship Type="http://schemas.openxmlformats.org/officeDocument/2006/relationships/hyperlink" Id="rId71" Target="https://doi.org/10.7326/m14-0698" TargetMode="External" /><Relationship Type="http://schemas.openxmlformats.org/officeDocument/2006/relationships/hyperlink" Id="rId94" Target="https://doi.org/10.7326/m18-3667" TargetMode="External" /><Relationship Type="http://schemas.openxmlformats.org/officeDocument/2006/relationships/hyperlink" Id="rId100"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2021-08-31T12:47:12Z</dcterms:created>
  <dcterms:modified xsi:type="dcterms:W3CDTF">2021-08-31T12:47:12Z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