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&lt; &lt;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&gt; &gt;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w:t>
      </w:r>
    </w:p>
    <w:p>
      <w:pPr>
        <w:pStyle w:val="BodyText"/>
      </w:pPr>
      <w:r>
        <w:t xml:space="preserve">&lt; &lt;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&gt; &gt;</w:t>
      </w:r>
    </w:p>
    <w:p>
      <w:pPr>
        <w:pStyle w:val="BodyText"/>
      </w:pPr>
      <w:r>
        <w:t xml:space="preserve">&lt; &lt;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&gt; &gt;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[11,12]</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An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[13,14]</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[15,16]</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&lt; &lt;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&gt; &gt;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[17]</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[18]</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[19]</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[20,21]</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[22,23]</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[24]</w:t>
      </w:r>
      <w:r>
        <w:t xml:space="preserve">.</w:t>
      </w:r>
      <w:r>
        <w:t xml:space="preserve"> </w:t>
      </w:r>
      <w:r>
        <w:t xml:space="preserve">More information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&lt; &lt; MOVE: ps_matching &gt; &gt;</w:t>
      </w:r>
    </w:p>
    <w:p>
      <w:pPr>
        <w:pStyle w:val="BodyText"/>
      </w:pPr>
      <w:r>
        <w:rPr>
          <w:i/>
          <w:b/>
        </w:rPr>
        <w:t xml:space="preserve">More specifically, we first estimated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w:t>
      </w:r>
    </w:p>
    <w:p>
      <w:pPr>
        <w:pStyle w:val="BodyText"/>
      </w:pPr>
      <w:r>
        <w:t xml:space="preserve">&lt; &lt; MOVE &gt; &gt;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[22,25]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[15]</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Reps2018"/>
    <w:p>
      <w:pPr>
        <w:pStyle w:val="Bibliography"/>
      </w:pPr>
      <w:r>
        <w:t xml:space="preserve">11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2">
        <w:r>
          <w:rPr>
            <w:rStyle w:val="Hyperlink"/>
          </w:rPr>
          <w:t xml:space="preserve">10.1093/jamia/ocy032</w:t>
        </w:r>
      </w:hyperlink>
    </w:p>
    <w:bookmarkEnd w:id="63"/>
    <w:bookmarkStart w:id="65" w:name="ref-Ryan2013"/>
    <w:p>
      <w:pPr>
        <w:pStyle w:val="Bibliography"/>
      </w:pPr>
      <w:r>
        <w:t xml:space="preserve">12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4">
        <w:r>
          <w:rPr>
            <w:rStyle w:val="Hyperlink"/>
          </w:rPr>
          <w:t xml:space="preserve">10.1007/s40264-013-0099-6</w:t>
        </w:r>
      </w:hyperlink>
    </w:p>
    <w:bookmarkEnd w:id="65"/>
    <w:bookmarkStart w:id="67" w:name="ref-Collins2015"/>
    <w:p>
      <w:pPr>
        <w:pStyle w:val="Bibliography"/>
      </w:pPr>
      <w:r>
        <w:t xml:space="preserve">13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6">
        <w:r>
          <w:rPr>
            <w:rStyle w:val="Hyperlink"/>
          </w:rPr>
          <w:t xml:space="preserve">10.1186/s12916-014-0241-z</w:t>
        </w:r>
      </w:hyperlink>
    </w:p>
    <w:bookmarkEnd w:id="67"/>
    <w:bookmarkStart w:id="69" w:name="ref-Moons2015"/>
    <w:p>
      <w:pPr>
        <w:pStyle w:val="Bibliography"/>
      </w:pPr>
      <w:r>
        <w:t xml:space="preserve">14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8">
        <w:r>
          <w:rPr>
            <w:rStyle w:val="Hyperlink"/>
          </w:rPr>
          <w:t xml:space="preserve">10.7326/m14-0698</w:t>
        </w:r>
      </w:hyperlink>
    </w:p>
    <w:bookmarkEnd w:id="69"/>
    <w:bookmarkStart w:id="71" w:name="ref-Burke2014"/>
    <w:p>
      <w:pPr>
        <w:pStyle w:val="Bibliography"/>
      </w:pPr>
      <w:r>
        <w:t xml:space="preserve">15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0">
        <w:r>
          <w:rPr>
            <w:rStyle w:val="Hyperlink"/>
          </w:rPr>
          <w:t xml:space="preserve">10.1161/circoutcomes.113.000497</w:t>
        </w:r>
      </w:hyperlink>
    </w:p>
    <w:bookmarkEnd w:id="71"/>
    <w:bookmarkStart w:id="73" w:name="ref-vanKlaveren2019"/>
    <w:p>
      <w:pPr>
        <w:pStyle w:val="Bibliography"/>
      </w:pPr>
      <w:r>
        <w:t xml:space="preserve">16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2">
        <w:r>
          <w:rPr>
            <w:rStyle w:val="Hyperlink"/>
          </w:rPr>
          <w:t xml:space="preserve">10.1016/j.jclinepi.2019.05.029</w:t>
        </w:r>
      </w:hyperlink>
    </w:p>
    <w:bookmarkEnd w:id="73"/>
    <w:bookmarkStart w:id="75" w:name="ref-Austin2011"/>
    <w:p>
      <w:pPr>
        <w:pStyle w:val="Bibliography"/>
      </w:pPr>
      <w:r>
        <w:t xml:space="preserve">17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4">
        <w:r>
          <w:rPr>
            <w:rStyle w:val="Hyperlink"/>
          </w:rPr>
          <w:t xml:space="preserve">10.1080/00273171.2011.568786</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8" w:name="ref-wiysonge2017beta"/>
    <w:p>
      <w:pPr>
        <w:pStyle w:val="Bibliography"/>
      </w:pPr>
      <w:r>
        <w:t xml:space="preserve">19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8"/>
    <w:bookmarkStart w:id="80" w:name="ref-Whelton2018"/>
    <w:p>
      <w:pPr>
        <w:pStyle w:val="Bibliography"/>
      </w:pPr>
      <w:r>
        <w:t xml:space="preserve">20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9">
        <w:r>
          <w:rPr>
            <w:rStyle w:val="Hyperlink"/>
          </w:rPr>
          <w:t xml:space="preserve">10.1161/hyp.0000000000000065</w:t>
        </w:r>
      </w:hyperlink>
    </w:p>
    <w:bookmarkEnd w:id="80"/>
    <w:bookmarkStart w:id="82" w:name="ref-Williams2018"/>
    <w:p>
      <w:pPr>
        <w:pStyle w:val="Bibliography"/>
      </w:pPr>
      <w:r>
        <w:t xml:space="preserve">21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1">
        <w:r>
          <w:rPr>
            <w:rStyle w:val="Hyperlink"/>
          </w:rPr>
          <w:t xml:space="preserve">10.1093/eurheartj/ehy339</w:t>
        </w:r>
      </w:hyperlink>
    </w:p>
    <w:bookmarkEnd w:id="82"/>
    <w:bookmarkStart w:id="84" w:name="ref-Khan2006"/>
    <w:p>
      <w:pPr>
        <w:pStyle w:val="Bibliography"/>
      </w:pPr>
      <w:r>
        <w:t xml:space="preserve">22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3">
        <w:r>
          <w:rPr>
            <w:rStyle w:val="Hyperlink"/>
          </w:rPr>
          <w:t xml:space="preserve">10.1503/cmaj.060110</w:t>
        </w:r>
      </w:hyperlink>
    </w:p>
    <w:bookmarkEnd w:id="84"/>
    <w:bookmarkStart w:id="86" w:name="ref-Rabi2020"/>
    <w:p>
      <w:pPr>
        <w:pStyle w:val="Bibliography"/>
      </w:pPr>
      <w:r>
        <w:t xml:space="preserve">23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5">
        <w:r>
          <w:rPr>
            <w:rStyle w:val="Hyperlink"/>
          </w:rPr>
          <w:t xml:space="preserve">10.1016/j.cjca.2020.02.086</w:t>
        </w:r>
      </w:hyperlink>
    </w:p>
    <w:bookmarkEnd w:id="86"/>
    <w:bookmarkStart w:id="88" w:name="ref-Suchard2019"/>
    <w:p>
      <w:pPr>
        <w:pStyle w:val="Bibliography"/>
      </w:pPr>
      <w:r>
        <w:t xml:space="preserve">24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7">
        <w:r>
          <w:rPr>
            <w:rStyle w:val="Hyperlink"/>
          </w:rPr>
          <w:t xml:space="preserve">10.1016/s0140-6736(19)32317-7</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2021-08-24T09:47:11Z</dcterms:created>
  <dcterms:modified xsi:type="dcterms:W3CDTF">2021-08-24T09:47:11Z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