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Thank you for pointing that out. We now also explicitly mention the OMOP-CDM requirement in the following places:</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numPr>
          <w:ilvl w:val="0"/>
          <w:numId w:val="1"/>
        </w:numPr>
        <w:bidi w:val="0"/>
        <w:spacing w:before="0" w:after="0"/>
        <w:jc w:val="start"/>
        <w:rPr/>
      </w:pPr>
      <w:r>
        <w:rPr>
          <w:rFonts w:ascii="Arial" w:hAnsi="Arial"/>
          <w:b w:val="false"/>
          <w:i w:val="false"/>
          <w:caps w:val="false"/>
          <w:smallCaps w:val="false"/>
          <w:color w:val="3465A4"/>
          <w:spacing w:val="0"/>
          <w:sz w:val="20"/>
          <w:szCs w:val="20"/>
        </w:rPr>
        <w:t xml:space="preserve">In the last paragraph of the introduction we write: </w:t>
      </w:r>
      <w:r>
        <w:rPr>
          <w:rFonts w:ascii="Arial" w:hAnsi="Arial"/>
          <w:b w:val="false"/>
          <w:i/>
          <w:iCs/>
          <w:caps w:val="false"/>
          <w:smallCaps w:val="false"/>
          <w:color w:val="3465A4"/>
          <w:spacing w:val="0"/>
          <w:sz w:val="20"/>
          <w:szCs w:val="20"/>
        </w:rPr>
        <w:t>“Our publicly available package provides an out-of-the-box solution for implementing such analyses at scale within the OHDSI network, taking advantage of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the first paragraph of Section 2 we write: </w:t>
      </w:r>
      <w:r>
        <w:rPr>
          <w:rFonts w:ascii="Arial" w:hAnsi="Arial"/>
          <w:b w:val="false"/>
          <w:i/>
          <w:iCs/>
          <w:caps w:val="false"/>
          <w:smallCaps w:val="false"/>
          <w:color w:val="3465A4"/>
          <w:spacing w:val="0"/>
          <w:sz w:val="20"/>
          <w:szCs w:val="20"/>
        </w:rPr>
        <w:t>“The proposed framework defines 5 distinct steps that enable a standardized approach for risk-based assessment of treatment effect heterogeneity for databases mapped to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Section 2.2.we added: </w:t>
      </w:r>
      <w:r>
        <w:rPr>
          <w:rFonts w:ascii="Arial" w:hAnsi="Arial"/>
          <w:b w:val="false"/>
          <w:i/>
          <w:iCs/>
          <w:caps w:val="false"/>
          <w:smallCaps w:val="false"/>
          <w:color w:val="3465A4"/>
          <w:spacing w:val="0"/>
          <w:sz w:val="20"/>
          <w:szCs w:val="20"/>
        </w:rPr>
        <w:t>“It is required that the databases are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We agree that our R-package should be mentioned a lot earlier, as it is one of the main contributions of our work. We added the following phrase to the first paragraph of Section 2:</w:t>
      </w:r>
    </w:p>
    <w:p>
      <w:pPr>
        <w:pStyle w:val="Normal"/>
        <w:widowControl/>
        <w:bidi w:val="0"/>
        <w:spacing w:before="0" w:after="0"/>
        <w:ind w:start="0" w:end="0" w:hanging="0"/>
        <w:jc w:val="start"/>
        <w:rPr>
          <w:i/>
          <w:i/>
          <w:iCs/>
          <w:color w:val="3465A4"/>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developed an open-source R-package for the implementation of the proposed framework and made it publicly available. The source code can be found at https://github.com/OHDSI/RiskStratifiedEstimation”</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rFonts w:ascii="Arial" w:hAnsi="Arial"/>
          <w:sz w:val="20"/>
          <w:szCs w:val="20"/>
        </w:rPr>
      </w:pPr>
      <w:r>
        <w:rPr>
          <w:rFonts w:ascii="Arial" w:hAnsi="Arial"/>
          <w:sz w:val="20"/>
          <w:szCs w:val="20"/>
        </w:rPr>
        <w:b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Of course, the requirements for this endeavor should not be taken lightly and our contribution provides more of an initial step towards that. Second, develop a tool for implementing this standardized framework that is compatible with the OMOP-CDM in order to carry out such analyses at a very large scale in a uniform and reproducible way.</w:t>
      </w:r>
      <w:commentRangeEnd w:id="0"/>
      <w:r>
        <w:commentReference w:id="0"/>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that cohort definitions. Especially in the case of cohort definitions, within OHDSI the term is used in a slightly different manner than in many manuscripts in the field. Whereas “cohort definition” usually describes the definition of a set of clinical codes (e.g. ICD-9/ICD-10, NDC, etc), the term is here used to describe more of a logic for implementing this code set. Code sets are used to define </w:t>
      </w:r>
      <w:r>
        <w:rPr>
          <w:rFonts w:ascii="Arial" w:hAnsi="Arial"/>
          <w:b w:val="false"/>
          <w:i w:val="false"/>
          <w:caps w:val="false"/>
          <w:smallCaps w:val="false"/>
          <w:color w:val="3465A4"/>
          <w:spacing w:val="0"/>
          <w:sz w:val="20"/>
          <w:szCs w:val="20"/>
        </w:rPr>
        <w:t>both</w:t>
      </w:r>
      <w:r>
        <w:rPr>
          <w:rFonts w:ascii="Arial" w:hAnsi="Arial"/>
          <w:b w:val="false"/>
          <w:i w:val="false"/>
          <w:caps w:val="false"/>
          <w:smallCaps w:val="false"/>
          <w:color w:val="3465A4"/>
          <w:spacing w:val="0"/>
          <w:sz w:val="20"/>
          <w:szCs w:val="20"/>
        </w:rPr>
        <w:t xml:space="preserve"> inclusion that are applied on the patients to determine who </w:t>
      </w:r>
      <w:r>
        <w:rPr>
          <w:rFonts w:ascii="Arial" w:hAnsi="Arial"/>
          <w:b w:val="false"/>
          <w:i w:val="false"/>
          <w:caps w:val="false"/>
          <w:smallCaps w:val="false"/>
          <w:color w:val="3465A4"/>
          <w:spacing w:val="0"/>
          <w:sz w:val="20"/>
          <w:szCs w:val="20"/>
        </w:rPr>
        <w:t xml:space="preserve">fulfills them and for how long and </w:t>
      </w:r>
      <w:r>
        <w:rPr>
          <w:rFonts w:eastAsia="AR PL KaitiM GB" w:cs="FreeSans" w:ascii="Arial" w:hAnsi="Arial"/>
          <w:b w:val="false"/>
          <w:i w:val="false"/>
          <w:caps w:val="false"/>
          <w:smallCaps w:val="false"/>
          <w:color w:val="3465A4"/>
          <w:spacing w:val="0"/>
          <w:kern w:val="2"/>
          <w:sz w:val="20"/>
          <w:szCs w:val="20"/>
          <w:lang w:val="en-US" w:eastAsia="zh-CN" w:bidi="hi-IN"/>
        </w:rPr>
        <w:t>cohort exit</w:t>
      </w:r>
      <w:r>
        <w:rPr>
          <w:rFonts w:ascii="Arial" w:hAnsi="Arial"/>
          <w:b w:val="false"/>
          <w:i w:val="false"/>
          <w:caps w:val="false"/>
          <w:smallCaps w:val="false"/>
          <w:color w:val="3465A4"/>
          <w:spacing w:val="0"/>
          <w:sz w:val="20"/>
          <w:szCs w:val="20"/>
        </w:rPr>
        <w:t xml:space="preserve"> criteria that determine when a patient no longer qualifies for cohort membership. We have </w:t>
      </w:r>
      <w:r>
        <w:rPr>
          <w:rFonts w:eastAsia="AR PL KaitiM GB" w:cs="FreeSans" w:ascii="Arial" w:hAnsi="Arial"/>
          <w:b w:val="false"/>
          <w:i w:val="false"/>
          <w:caps w:val="false"/>
          <w:smallCaps w:val="false"/>
          <w:color w:val="3465A4"/>
          <w:spacing w:val="0"/>
          <w:kern w:val="2"/>
          <w:sz w:val="20"/>
          <w:szCs w:val="20"/>
          <w:lang w:val="en-US" w:eastAsia="zh-CN" w:bidi="hi-IN"/>
        </w:rPr>
        <w:t xml:space="preserve">added the following text to the </w:t>
      </w:r>
      <w:r>
        <w:rPr>
          <w:rFonts w:ascii="Arial" w:hAnsi="Arial"/>
          <w:b w:val="false"/>
          <w:i w:val="false"/>
          <w:caps w:val="false"/>
          <w:smallCaps w:val="false"/>
          <w:color w:val="3465A4"/>
          <w:spacing w:val="0"/>
          <w:sz w:val="20"/>
          <w:szCs w:val="20"/>
        </w:rPr>
        <w:t>first paragraph of Section 2.1:</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Cohort definitions are crucial for this step of the framework. We define a cohort as the set of patients who satisfy one or more inclusion criteria for a duration of time. A cohort within the OHDSI setting is more than a set of specific clinical codes, providing a definition of a logic for how to use that code set. All cohort definitions consist of: an entry event, i.e. the time a patient enters a cohort; a set of inclusion criteria applied to the initial event cohort to further restrict the set of people, resulting in the construction of the construction of the qualifying cohort; cohort exit criteria that terminate the patient's presence in the cohort. Cohort definitions are transportable, meaning they can be implemented in any database, provided that it is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i/>
          <w:iCs/>
          <w:color w:val="3465A4"/>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 xml:space="preserve">We also agree with Reviewer 1 that the matching process is very briefly described in Section 2. However, there is multitude of ways </w:t>
      </w:r>
      <w:r>
        <w:rPr>
          <w:rFonts w:ascii="Arial" w:hAnsi="Arial"/>
          <w:b w:val="false"/>
          <w:i w:val="false"/>
          <w:iCs w:val="false"/>
          <w:caps w:val="false"/>
          <w:smallCaps w:val="false"/>
          <w:color w:val="3465A4"/>
          <w:spacing w:val="0"/>
          <w:sz w:val="20"/>
          <w:szCs w:val="20"/>
        </w:rPr>
        <w:t>both for estimating</w:t>
      </w:r>
      <w:r>
        <w:rPr>
          <w:rFonts w:ascii="Arial" w:hAnsi="Arial"/>
          <w:b w:val="false"/>
          <w:i w:val="false"/>
          <w:iCs w:val="false"/>
          <w:caps w:val="false"/>
          <w:smallCaps w:val="false"/>
          <w:color w:val="3465A4"/>
          <w:spacing w:val="0"/>
          <w:sz w:val="20"/>
          <w:szCs w:val="20"/>
        </w:rPr>
        <w:t xml:space="preserve"> propensity score</w:t>
      </w:r>
      <w:r>
        <w:rPr>
          <w:rFonts w:ascii="Arial" w:hAnsi="Arial"/>
          <w:b w:val="false"/>
          <w:i w:val="false"/>
          <w:iCs w:val="false"/>
          <w:caps w:val="false"/>
          <w:smallCaps w:val="false"/>
          <w:color w:val="3465A4"/>
          <w:spacing w:val="0"/>
          <w:sz w:val="20"/>
          <w:szCs w:val="20"/>
        </w:rPr>
        <w:t>s and adjusting for them th</w:t>
      </w:r>
      <w:r>
        <w:rPr>
          <w:rFonts w:ascii="Arial" w:hAnsi="Arial"/>
          <w:b w:val="false"/>
          <w:i w:val="false"/>
          <w:iCs w:val="false"/>
          <w:caps w:val="false"/>
          <w:smallCaps w:val="false"/>
          <w:color w:val="3465A4"/>
          <w:spacing w:val="0"/>
          <w:sz w:val="20"/>
          <w:szCs w:val="20"/>
        </w:rPr>
        <w:t>a</w:t>
      </w:r>
      <w:r>
        <w:rPr>
          <w:rFonts w:ascii="Arial" w:hAnsi="Arial"/>
          <w:b w:val="false"/>
          <w:i w:val="false"/>
          <w:iCs w:val="false"/>
          <w:caps w:val="false"/>
          <w:smallCaps w:val="false"/>
          <w:color w:val="3465A4"/>
          <w:spacing w:val="0"/>
          <w:sz w:val="20"/>
          <w:szCs w:val="20"/>
        </w:rPr>
        <w:t xml:space="preserve">t can </w:t>
      </w:r>
      <w:r>
        <w:rPr>
          <w:rFonts w:ascii="Arial" w:hAnsi="Arial"/>
          <w:b w:val="false"/>
          <w:i w:val="false"/>
          <w:iCs w:val="false"/>
          <w:caps w:val="false"/>
          <w:smallCaps w:val="false"/>
          <w:color w:val="3465A4"/>
          <w:spacing w:val="0"/>
          <w:sz w:val="20"/>
          <w:szCs w:val="20"/>
        </w:rPr>
        <w:t>be considered. This is an active field of research with no “</w:t>
      </w:r>
      <w:r>
        <w:rPr>
          <w:rFonts w:ascii="Arial" w:hAnsi="Arial"/>
          <w:b w:val="false"/>
          <w:i w:val="false"/>
          <w:iCs w:val="false"/>
          <w:caps w:val="false"/>
          <w:smallCaps w:val="false"/>
          <w:color w:val="3465A4"/>
          <w:spacing w:val="0"/>
          <w:sz w:val="20"/>
          <w:szCs w:val="20"/>
        </w:rPr>
        <w:t xml:space="preserve">one-size-fits-all” solutions. For example, we opted for using a </w:t>
      </w:r>
      <w:r>
        <w:rPr>
          <w:rFonts w:eastAsia="AR PL KaitiM GB" w:cs="FreeSans" w:ascii="Arial" w:hAnsi="Arial"/>
          <w:b w:val="false"/>
          <w:i w:val="false"/>
          <w:iCs w:val="false"/>
          <w:caps w:val="false"/>
          <w:smallCaps w:val="false"/>
          <w:color w:val="3465A4"/>
          <w:spacing w:val="0"/>
          <w:kern w:val="2"/>
          <w:sz w:val="20"/>
          <w:szCs w:val="20"/>
          <w:lang w:val="en-US" w:eastAsia="zh-CN" w:bidi="hi-IN"/>
        </w:rPr>
        <w:t>large</w:t>
      </w:r>
      <w:r>
        <w:rPr>
          <w:rFonts w:ascii="Arial" w:hAnsi="Arial"/>
          <w:b w:val="false"/>
          <w:i w:val="false"/>
          <w:iCs w:val="false"/>
          <w:caps w:val="false"/>
          <w:smallCaps w:val="false"/>
          <w:color w:val="3465A4"/>
          <w:spacing w:val="0"/>
          <w:sz w:val="20"/>
          <w:szCs w:val="20"/>
        </w:rPr>
        <w:t>-scale propensity score estimation process, where a large set of covariates is considered in a LASSO logistic regression for performing variable selection—currently the default within OHDSI (REF Tian). However, other approaches have also been suggested in the literature from using expert opinion (REF) to ranking covariates for their “confounding plausibility”(REF). The modeling approach is also another issue with many answers. We use LASSO logistic regression but any other machine learning approaches can also be considere</w:t>
      </w:r>
      <w:r>
        <w:rPr>
          <w:rFonts w:ascii="Arial" w:hAnsi="Arial"/>
          <w:b w:val="false"/>
          <w:i w:val="false"/>
          <w:iCs w:val="false"/>
          <w:caps w:val="false"/>
          <w:smallCaps w:val="false"/>
          <w:color w:val="3465A4"/>
          <w:spacing w:val="0"/>
          <w:sz w:val="20"/>
          <w:szCs w:val="20"/>
        </w:rPr>
        <w:t>d (</w:t>
      </w:r>
      <w:commentRangeStart w:id="1"/>
      <w:r>
        <w:rPr>
          <w:rFonts w:ascii="Arial" w:hAnsi="Arial"/>
          <w:b w:val="false"/>
          <w:i w:val="false"/>
          <w:iCs w:val="false"/>
          <w:caps w:val="false"/>
          <w:smallCaps w:val="false"/>
          <w:color w:val="3465A4"/>
          <w:spacing w:val="0"/>
          <w:sz w:val="20"/>
          <w:szCs w:val="20"/>
        </w:rPr>
        <w:t>REF Austin)</w:t>
      </w:r>
      <w:r>
        <w:rPr>
          <w:rFonts w:ascii="Arial" w:hAnsi="Arial"/>
          <w:b w:val="false"/>
          <w:i w:val="false"/>
          <w:iCs w:val="false"/>
          <w:caps w:val="false"/>
          <w:smallCaps w:val="false"/>
          <w:color w:val="3465A4"/>
          <w:spacing w:val="0"/>
          <w:sz w:val="20"/>
          <w:szCs w:val="20"/>
        </w:rPr>
      </w:r>
      <w:commentRangeEnd w:id="1"/>
      <w:r>
        <w:commentReference w:id="1"/>
      </w:r>
      <w:r>
        <w:rPr>
          <w:rFonts w:ascii="Arial" w:hAnsi="Arial"/>
          <w:b w:val="false"/>
          <w:i w:val="false"/>
          <w:iCs w:val="false"/>
          <w:caps w:val="false"/>
          <w:smallCaps w:val="false"/>
          <w:color w:val="3465A4"/>
          <w:spacing w:val="0"/>
          <w:sz w:val="20"/>
          <w:szCs w:val="20"/>
        </w:rPr>
        <w:t>. These issues are out of our manuscripts scope. So we decided to only present what is currently the default option in our package, which also is the default in OHDSI. We have modified the second paragraph of Section 3.2. and made it the last paragraph of Section 2.2:</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i w:val="false"/>
          <w:iCs w:val="false"/>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More specifically, we first estimate propensity scores using LASSO logistic regression and a large set of baseline covariates including demographics, drug exposures, diagnoses, measurements and medical devices. We match patients 1-1 using a caliper, i.e. the maximum distance that is acceptable for any match. The default value we use is 0.2 on the standardized logit scale for the propensity scores. Other methods of fitting the propensity scores, such as random forest and others (REF) can also be considered”.</w:t>
      </w:r>
    </w:p>
    <w:p>
      <w:pPr>
        <w:pStyle w:val="Normal"/>
        <w:widowControl/>
        <w:bidi w:val="0"/>
        <w:spacing w:before="0" w:after="0"/>
        <w:ind w:start="0" w:end="0" w:hanging="0"/>
        <w:jc w:val="start"/>
        <w:rPr>
          <w:rFonts w:ascii="Arial" w:hAnsi="Arial"/>
          <w:sz w:val="20"/>
          <w:szCs w:val="20"/>
        </w:rPr>
      </w:pP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 xml:space="preserve">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the Evaluation section should precede the results. Therefore, we </w:t>
      </w:r>
      <w:r>
        <w:rPr>
          <w:rFonts w:eastAsia="AR PL KaitiM GB" w:cs="FreeSans" w:ascii="Arial" w:hAnsi="Arial"/>
          <w:b w:val="false"/>
          <w:i w:val="false"/>
          <w:caps w:val="false"/>
          <w:smallCaps w:val="false"/>
          <w:color w:val="3465A4"/>
          <w:spacing w:val="0"/>
          <w:kern w:val="2"/>
          <w:sz w:val="20"/>
          <w:szCs w:val="20"/>
          <w:lang w:val="en-US" w:eastAsia="zh-CN" w:bidi="hi-IN"/>
        </w:rPr>
        <w:t>switched</w:t>
      </w:r>
      <w:r>
        <w:rPr>
          <w:rFonts w:ascii="Arial" w:hAnsi="Arial"/>
          <w:b w:val="false"/>
          <w:i w:val="false"/>
          <w:caps w:val="false"/>
          <w:smallCaps w:val="false"/>
          <w:color w:val="3465A4"/>
          <w:spacing w:val="0"/>
          <w:sz w:val="20"/>
          <w:szCs w:val="20"/>
        </w:rPr>
        <w:t xml:space="preserve"> the first paragraph of Section 2.5 with the last paragraph of the same section. </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 xml:space="preserve">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results are shown in several figures. What is the purpose of these results? to show the demonstrated analyses results? this is purpose of the paper? what is the baseline? to what is it compared? what is the alternative? 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Detailed Comments</w:t>
        <w:br/>
        <w:t>1. Abstract: please be clearer about the "OHDSI methods library". Are you referring to methods unique to OHDSI or are you referring to a set of generic statistical models?</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“OHDSI methods library” may be somewhat unclear. What we are referring to is the latter, i.e. a set of open-source tools for implementing standardized frameworks within the OHDSI setting. For example, there are standardized frameworks for performing patient-level prediction, population-level effect estimation etc. We changed this part of the abstract as follows: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 xml:space="preserve"> “</w:t>
      </w:r>
      <w:r>
        <w:rPr>
          <w:rFonts w:ascii="Arial" w:hAnsi="Arial"/>
          <w:b w:val="false"/>
          <w:i/>
          <w:iCs/>
          <w:caps w:val="false"/>
          <w:smallCaps w:val="false"/>
          <w:color w:val="3465A4"/>
          <w:spacing w:val="0"/>
          <w:sz w:val="20"/>
          <w:szCs w:val="20"/>
        </w:rPr>
        <w:t>...OHDSI library of open-source tools…”</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with Reviewer 2 that “target cohort” should be better explained as it is not a standard term. What we mean is the initial cohort (a set of patients that satisfy one or more inclusion criteria for a period of time) from which the population on which the prediction model will be developed. This population (the “sample”) is defined by applying further restrictions on the target cohort, e.g. after excluding patients that had the outcome of interest before being included in the cohort. We have </w:t>
      </w:r>
      <w:r>
        <w:rPr>
          <w:rFonts w:ascii="Arial" w:hAnsi="Arial"/>
          <w:b w:val="false"/>
          <w:i w:val="false"/>
          <w:caps w:val="false"/>
          <w:smallCaps w:val="false"/>
          <w:color w:val="3465A4"/>
          <w:spacing w:val="0"/>
          <w:sz w:val="20"/>
          <w:szCs w:val="20"/>
        </w:rPr>
        <w:t>made the following modifications to better clarify this issue:</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first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This prediction framework requires the definition of two essential cohorts: a target cohort, i.e. a set of patients hat satisfy one or more inclusion criteria for a duration of time, and an outcome cohort”.</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second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Further restrictions can be applied on the target cohort to construct the final population on which the prediction model will be developed (e.g. exclude patients with a prior outcome in their history, before being included in the target cohort)”.</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 Prediction: it seems you are using the data twice: once to get the predicted risk for patients and then again to estimate HTE. This seems incorrect - please justify this step, indicating how standard errors and estimates are impacted.</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with Reviewer 2 that using the data twice, once for predicting risk and then for estimating HTE may be problematic. Ideally, we would like to use an external and well-validated model for risk stratifying the study population. This was already pointed out in the PATH statement (REF), </w:t>
      </w:r>
      <w:r>
        <w:rPr>
          <w:rFonts w:ascii="Arial" w:hAnsi="Arial"/>
          <w:b w:val="false"/>
          <w:i w:val="false"/>
          <w:caps w:val="false"/>
          <w:smallCaps w:val="false"/>
          <w:color w:val="3465A4"/>
          <w:spacing w:val="0"/>
          <w:sz w:val="20"/>
          <w:szCs w:val="20"/>
        </w:rPr>
        <w:t>that provided guidance for performing risk-based assessment of HTE in the RCT setting</w:t>
      </w:r>
      <w:r>
        <w:rPr>
          <w:rFonts w:ascii="Arial" w:hAnsi="Arial"/>
          <w:b w:val="false"/>
          <w:i w:val="false"/>
          <w:caps w:val="false"/>
          <w:smallCaps w:val="false"/>
          <w:color w:val="3465A4"/>
          <w:spacing w:val="0"/>
          <w:sz w:val="20"/>
          <w:szCs w:val="20"/>
        </w:rPr>
        <w:t xml:space="preserve">. </w:t>
      </w:r>
      <w:r>
        <w:rPr>
          <w:rFonts w:ascii="Arial" w:hAnsi="Arial"/>
          <w:b w:val="false"/>
          <w:i w:val="false"/>
          <w:caps w:val="false"/>
          <w:smallCaps w:val="false"/>
          <w:color w:val="3465A4"/>
          <w:spacing w:val="0"/>
          <w:sz w:val="20"/>
          <w:szCs w:val="20"/>
        </w:rPr>
        <w:t xml:space="preserve">However, when such a model is not available an earlier simulation study (REF Burke) </w:t>
      </w:r>
      <w:r>
        <w:rPr>
          <w:rFonts w:ascii="Arial" w:hAnsi="Arial"/>
          <w:b w:val="false"/>
          <w:i w:val="false"/>
          <w:caps w:val="false"/>
          <w:smallCaps w:val="false"/>
          <w:color w:val="3465A4"/>
          <w:spacing w:val="0"/>
          <w:sz w:val="20"/>
          <w:szCs w:val="20"/>
        </w:rPr>
        <w:t>demonstrated that internally developed prediction models produce relatively unbiased estimates of treatment effect across the spectrum of risk. In our framework we followed the guidance provided in (REF Burke) and the PATH statement for using internal models: develop the prediction model on the combined treatment and control arms—not only on the control arm as this will result in more bias (REF: Burke; Abadie)—blinded to treatment. We highlighted all these in the Discussion section by adding the following:</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Ideally, externally derived and adequately validated prediction model would be preferred for analyzing treatment effect heterogeneity. In the absence of such prediction models an internally-developed risk prediction model can be considered. Earlier simulations of RCT studies have shown that internal models developed on the combined treatment and control arms blinded to treatment gave relatively unbiased estimates of treatment effect across the spectrum of risk ”.</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commentRangeStart w:id="2"/>
      <w:r>
        <w:rPr>
          <w:rFonts w:ascii="Arial" w:hAnsi="Arial"/>
          <w:b w:val="false"/>
          <w:i w:val="false"/>
          <w:caps w:val="false"/>
          <w:smallCaps w:val="false"/>
          <w:color w:val="3465A4"/>
          <w:spacing w:val="0"/>
          <w:sz w:val="20"/>
          <w:szCs w:val="20"/>
        </w:rPr>
        <w:t>Our risk stratified approach for evaluating HTE can be considered as an alternative subgroup analysis. Instead of using the values of specific covariates for stratifying the population we use a summary score, i.e. an estimate of the baseline risk. At the moment, best practices for performing subgroup analyses within the observational setting are not in place (</w:t>
      </w:r>
      <w:r>
        <w:rPr>
          <w:rFonts w:eastAsia="AR PL KaitiM GB" w:cs="FreeSans" w:ascii="Arial" w:hAnsi="Arial"/>
          <w:b w:val="false"/>
          <w:i w:val="false"/>
          <w:caps w:val="false"/>
          <w:smallCaps w:val="false"/>
          <w:color w:val="3465A4"/>
          <w:spacing w:val="0"/>
          <w:kern w:val="2"/>
          <w:sz w:val="20"/>
          <w:szCs w:val="20"/>
          <w:lang w:val="en-US" w:eastAsia="zh-CN" w:bidi="hi-IN"/>
        </w:rPr>
        <w:t>Wang et al 2017 [</w:t>
      </w:r>
      <w:hyperlink r:id="rId2">
        <w:r>
          <w:rPr>
            <w:rStyle w:val="InternetLink"/>
            <w:rFonts w:eastAsia="AR PL KaitiM GB" w:cs="FreeSans" w:ascii="Arial" w:hAnsi="Arial"/>
            <w:b w:val="false"/>
            <w:i w:val="false"/>
            <w:caps w:val="false"/>
            <w:smallCaps w:val="false"/>
            <w:color w:val="3465A4"/>
            <w:spacing w:val="0"/>
            <w:kern w:val="2"/>
            <w:sz w:val="20"/>
            <w:szCs w:val="20"/>
            <w:lang w:val="en-US" w:eastAsia="zh-CN" w:bidi="hi-IN"/>
          </w:rPr>
          <w:t>https://doi.org/10.1002/pds.4328</w:t>
        </w:r>
      </w:hyperlink>
      <w:r>
        <w:rPr>
          <w:rFonts w:eastAsia="AR PL KaitiM GB" w:cs="FreeSans" w:ascii="Arial" w:hAnsi="Arial"/>
          <w:b w:val="false"/>
          <w:i w:val="false"/>
          <w:caps w:val="false"/>
          <w:smallCaps w:val="false"/>
          <w:color w:val="3465A4"/>
          <w:spacing w:val="0"/>
          <w:kern w:val="2"/>
          <w:sz w:val="20"/>
          <w:szCs w:val="20"/>
          <w:lang w:val="en-US" w:eastAsia="zh-CN" w:bidi="hi-IN"/>
        </w:rPr>
        <w:t>]</w:t>
      </w:r>
      <w:r>
        <w:rPr>
          <w:rFonts w:ascii="Arial" w:hAnsi="Arial"/>
          <w:b w:val="false"/>
          <w:i w:val="false"/>
          <w:caps w:val="false"/>
          <w:smallCaps w:val="false"/>
          <w:color w:val="3465A4"/>
          <w:spacing w:val="0"/>
          <w:sz w:val="20"/>
          <w:szCs w:val="20"/>
        </w:rPr>
        <w:t xml:space="preserve">). </w:t>
      </w:r>
      <w:r>
        <w:rPr>
          <w:rFonts w:ascii="Arial" w:hAnsi="Arial"/>
          <w:b w:val="false"/>
          <w:i w:val="false"/>
          <w:caps w:val="false"/>
          <w:smallCaps w:val="false"/>
          <w:color w:val="3465A4"/>
          <w:spacing w:val="0"/>
          <w:sz w:val="20"/>
          <w:szCs w:val="20"/>
        </w:rPr>
        <w:t>However, the results from simulation studies have shown that using subgroup-specific propensity score models generally result in lower bias than using the overall propensity score model (Izem et al 2020 [</w:t>
      </w:r>
      <w:hyperlink r:id="rId3">
        <w:r>
          <w:rPr>
            <w:rStyle w:val="InternetLink"/>
            <w:rFonts w:ascii="Arial" w:hAnsi="Arial"/>
            <w:b w:val="false"/>
            <w:i w:val="false"/>
            <w:caps w:val="false"/>
            <w:smallCaps w:val="false"/>
            <w:color w:val="3465A4"/>
            <w:spacing w:val="0"/>
            <w:sz w:val="20"/>
            <w:szCs w:val="20"/>
          </w:rPr>
          <w:t>https://doi.org/10.1080/10543406.2020.1730868</w:t>
        </w:r>
      </w:hyperlink>
      <w:r>
        <w:rPr>
          <w:rFonts w:ascii="Arial" w:hAnsi="Arial"/>
          <w:b w:val="false"/>
          <w:i w:val="false"/>
          <w:caps w:val="false"/>
          <w:smallCaps w:val="false"/>
          <w:color w:val="3465A4"/>
          <w:spacing w:val="0"/>
          <w:sz w:val="20"/>
          <w:szCs w:val="20"/>
        </w:rPr>
        <w:t>]; Wang et al 2017).</w:t>
      </w:r>
      <w:commentRangeEnd w:id="2"/>
      <w:r>
        <w:commentReference w:id="2"/>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also change the text in the manuscript to reflect that</w:t>
      </w:r>
    </w:p>
  </w:comment>
  <w:comment w:id="1" w:author="Unknown Author" w:date="2021-08-26T11:23:41Z" w:initials="">
    <w:p>
      <w:r>
        <w:rPr>
          <w:rFonts w:eastAsia="AR PL KaitiM GB"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Include here all these references</w:t>
      </w:r>
    </w:p>
  </w:comment>
  <w:comment w:id="2" w:author="Unknown Author" w:date="2021-08-26T15:04:59Z" w:initials="">
    <w:p>
      <w:r>
        <w:rPr>
          <w:rFonts w:eastAsia="AR PL KaitiM GB"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Need to include that in the manuscript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pds.4328" TargetMode="External"/><Relationship Id="rId3" Type="http://schemas.openxmlformats.org/officeDocument/2006/relationships/hyperlink" Target="https://doi.org/10.1080/10543406.2020.1730868"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LibreOffice/7.2.0.4$Linux_X86_64 LibreOffice_project/20$Build-4</Application>
  <AppVersion>15.0000</AppVersion>
  <Pages>7</Pages>
  <Words>4359</Words>
  <Characters>22899</Characters>
  <CharactersWithSpaces>27252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2021-08-26T15:10:30Z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