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7.png" ContentType="image/png"/>
  <Override PartName="/word/media/rId34.png" ContentType="image/png"/>
  <Override PartName="/word/media/rId39.png" ContentType="image/png"/>
  <Override PartName="/word/media/rId33.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displayed</w:t>
      </w:r>
      <w:r>
        <w:t xml:space="preserve"> </w:t>
      </w:r>
      <w:r>
        <w:t xml:space="preserve">robust</w:t>
      </w:r>
      <w:r>
        <w:t xml:space="preserve"> </w:t>
      </w:r>
      <w:r>
        <w:t xml:space="preserve">performance</w:t>
      </w:r>
      <w:r>
        <w:t xml:space="preserve"> </w:t>
      </w:r>
      <w:r>
        <w:t xml:space="preserve">across</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The</w:t>
      </w:r>
      <w:r>
        <w:t xml:space="preserve"> </w:t>
      </w:r>
      <w:r>
        <w:t xml:space="preserve">adaptive</w:t>
      </w:r>
      <w:r>
        <w:t xml:space="preserve"> </w:t>
      </w:r>
      <w:r>
        <w:t xml:space="preserve">approach</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p>
    <w:p>
      <w:pPr>
        <w:pStyle w:val="Heading1"/>
      </w:pPr>
      <w:bookmarkStart w:id="20" w:name="what-is-new"/>
      <w:r>
        <w:t xml:space="preserve">What is new?</w:t>
      </w:r>
      <w:bookmarkEnd w:id="20"/>
    </w:p>
    <w:p>
      <w:pPr>
        <w:numPr>
          <w:ilvl w:val="0"/>
          <w:numId w:val="1001"/>
        </w:numPr>
        <w:pStyle w:val="Compact"/>
      </w:pPr>
      <w:r>
        <w:t xml:space="preserve">Models including a linear interaction of the prognostic index with treatment</w:t>
      </w:r>
      <w:r>
        <w:t xml:space="preserve"> </w:t>
      </w:r>
      <w:r>
        <w:t xml:space="preserve">were a good option for predicting absolute benefit with smaller sample sizes or</w:t>
      </w:r>
      <w:r>
        <w:t xml:space="preserve"> </w:t>
      </w:r>
      <w:r>
        <w:t xml:space="preserve">moderately performing prediction models.</w:t>
      </w:r>
    </w:p>
    <w:p>
      <w:pPr>
        <w:numPr>
          <w:ilvl w:val="0"/>
          <w:numId w:val="1001"/>
        </w:numPr>
        <w:pStyle w:val="Compact"/>
      </w:pPr>
      <w:r>
        <w:t xml:space="preserve">Models including an interaction of treatment with a restricted cubic spline</w:t>
      </w:r>
      <w:r>
        <w:t xml:space="preserve"> </w:t>
      </w:r>
      <w:r>
        <w:t xml:space="preserve">transformation using 3 knots performed better in the presence of true</w:t>
      </w:r>
      <w:r>
        <w:t xml:space="preserve"> </w:t>
      </w:r>
      <w:r>
        <w:t xml:space="preserve">non-monotonic deviations from a constant relative treatment effect or with</w:t>
      </w:r>
      <w:r>
        <w:t xml:space="preserve"> </w:t>
      </w:r>
      <w:r>
        <w:t xml:space="preserve">treatment-related harms.</w:t>
      </w:r>
    </w:p>
    <w:p>
      <w:pPr>
        <w:numPr>
          <w:ilvl w:val="0"/>
          <w:numId w:val="1001"/>
        </w:numPr>
        <w:pStyle w:val="Compact"/>
      </w:pPr>
      <w:r>
        <w:t xml:space="preserve">Using an AIC adaptive approach to select among a constant effects model, a</w:t>
      </w:r>
      <w:r>
        <w:t xml:space="preserve"> </w:t>
      </w:r>
      <w:r>
        <w:t xml:space="preserve">linear interaction model, and a model using restricted cubic spline</w:t>
      </w:r>
      <w:r>
        <w:t xml:space="preserve"> </w:t>
      </w:r>
      <w:r>
        <w:t xml:space="preserve">transformations was better suited for larger sample sizes.</w:t>
      </w:r>
    </w:p>
    <w:p>
      <w:pPr>
        <w:pStyle w:val="Heading1"/>
      </w:pPr>
      <w:bookmarkStart w:id="21" w:name="what-this-adds-to-what-was-known"/>
      <w:r>
        <w:t xml:space="preserve">What this adds to what was known?</w:t>
      </w:r>
      <w:bookmarkEnd w:id="21"/>
    </w:p>
    <w:p>
      <w:pPr>
        <w:numPr>
          <w:ilvl w:val="0"/>
          <w:numId w:val="1002"/>
        </w:numPr>
        <w:pStyle w:val="Compact"/>
      </w:pPr>
      <w:r>
        <w:t xml:space="preserve">Using a constant relative treatment effect for making risk-based</w:t>
      </w:r>
      <w:r>
        <w:t xml:space="preserve"> </w:t>
      </w:r>
      <w:r>
        <w:t xml:space="preserve">individualized benefit predictions is not always the best approach.</w:t>
      </w:r>
    </w:p>
    <w:p>
      <w:pPr>
        <w:numPr>
          <w:ilvl w:val="0"/>
          <w:numId w:val="1002"/>
        </w:numPr>
        <w:pStyle w:val="Compact"/>
      </w:pPr>
      <w:r>
        <w:t xml:space="preserve">Models including linear interaction of treatment with the prognostic index</w:t>
      </w:r>
      <w:r>
        <w:t xml:space="preserve"> </w:t>
      </w:r>
      <w:r>
        <w:t xml:space="preserve">have robust performance across a wide variety of settings.</w:t>
      </w:r>
    </w:p>
    <w:p>
      <w:pPr>
        <w:numPr>
          <w:ilvl w:val="0"/>
          <w:numId w:val="1002"/>
        </w:numPr>
        <w:pStyle w:val="Compact"/>
      </w:pPr>
      <w:r>
        <w:t xml:space="preserve">Increasing the flexibility of the transformation of the prognostic index does</w:t>
      </w:r>
      <w:r>
        <w:t xml:space="preserve"> </w:t>
      </w:r>
      <w:r>
        <w:t xml:space="preserve">not improve performance.</w:t>
      </w:r>
    </w:p>
    <w:p>
      <w:pPr>
        <w:pStyle w:val="Heading1"/>
      </w:pPr>
      <w:bookmarkStart w:id="22" w:name="X8ae03ab994ef3df0e385f161d2a0ae5ec1809d2"/>
      <w:r>
        <w:t xml:space="preserve">What is the implication and what should change now?</w:t>
      </w:r>
      <w:bookmarkEnd w:id="22"/>
    </w:p>
    <w:p>
      <w:pPr>
        <w:numPr>
          <w:ilvl w:val="0"/>
          <w:numId w:val="1003"/>
        </w:numPr>
        <w:pStyle w:val="Compact"/>
      </w:pPr>
      <w:r>
        <w:t xml:space="preserve">Assuming a constant relative treatment effect for all patients may lead to</w:t>
      </w:r>
      <w:r>
        <w:t xml:space="preserve"> </w:t>
      </w:r>
      <w:r>
        <w:t xml:space="preserve">treatment mistargeting.</w:t>
      </w:r>
    </w:p>
    <w:p>
      <w:pPr>
        <w:numPr>
          <w:ilvl w:val="0"/>
          <w:numId w:val="1003"/>
        </w:numPr>
        <w:pStyle w:val="Compact"/>
      </w:pPr>
      <w:r>
        <w:t xml:space="preserve">We recommend using a linear interaction of treatment with the prognostic index</w:t>
      </w:r>
      <w:r>
        <w:t xml:space="preserve"> </w:t>
      </w:r>
      <w:r>
        <w:t xml:space="preserve">for making individualized risk-based benefit predictions.</w:t>
      </w:r>
    </w:p>
    <w:p>
      <w:pPr>
        <w:numPr>
          <w:ilvl w:val="0"/>
          <w:numId w:val="1003"/>
        </w:numPr>
        <w:pStyle w:val="Compact"/>
      </w:pPr>
      <w:r>
        <w:t xml:space="preserve">With larger sample size, using an adaptive approach based on AIC to explore</w:t>
      </w:r>
      <w:r>
        <w:t xml:space="preserve"> </w:t>
      </w:r>
      <w:r>
        <w:t xml:space="preserve">non-linear interactions of the prognostic index with treatment is a viable</w:t>
      </w:r>
      <w:r>
        <w:t xml:space="preserve"> </w:t>
      </w:r>
      <w:r>
        <w:t xml:space="preserve">option.</w:t>
      </w:r>
    </w:p>
    <w:p>
      <w:pPr>
        <w:pStyle w:val="Heading1"/>
      </w:pPr>
      <w:bookmarkStart w:id="23" w:name="introduction"/>
      <w:r>
        <w:t xml:space="preserve">1	Introduction</w:t>
      </w:r>
      <w:bookmarkEnd w:id="23"/>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absolute benefit, while risk-based methods proved quite robust in terms of</w:t>
      </w:r>
      <w:r>
        <w:t xml:space="preserve"> </w:t>
      </w:r>
      <w:r>
        <w:t xml:space="preserve">benefit calibration, although provided weaker discrimination of benefit in the</w:t>
      </w:r>
      <w:r>
        <w:t xml:space="preserve"> </w:t>
      </w:r>
      <w:r>
        <w:t xml:space="preserve">presence of true effect modifiers</w:t>
      </w:r>
      <w:r>
        <w:t xml:space="preserve"> </w:t>
      </w:r>
      <w:r>
        <w:t xml:space="preserve">[5]</w:t>
      </w:r>
      <w:r>
        <w:t xml:space="preserve">. Most often, risk-modeling</w:t>
      </w:r>
      <w:r>
        <w:t xml:space="preserve"> </w:t>
      </w:r>
      <w:r>
        <w:t xml:space="preserve">approaches are carried out in two steps: first a risk prediction model is</w:t>
      </w:r>
      <w:r>
        <w:t xml:space="preserve"> </w:t>
      </w:r>
      <w:r>
        <w:t xml:space="preserve">developed externally or internally on the entire RCT population,</w:t>
      </w:r>
      <w:r>
        <w:t xml:space="preserve"> </w:t>
      </w:r>
      <w:r>
        <w:t xml:space="preserve">“</w:t>
      </w:r>
      <w:r>
        <w:t xml:space="preserve">blinded</w:t>
      </w:r>
      <w:r>
        <w:t xml:space="preserve">”</w:t>
      </w:r>
      <w:r>
        <w:t xml:space="preserve"> </w:t>
      </w:r>
      <w:r>
        <w:t xml:space="preserve">to</w:t>
      </w:r>
      <w:r>
        <w:t xml:space="preserve"> </w:t>
      </w:r>
      <w:r>
        <w:t xml:space="preserve">treatment; then the RCT population is stratified using this prediction model to</w:t>
      </w:r>
      <w:r>
        <w:t xml:space="preserve"> </w:t>
      </w:r>
      <w:r>
        <w:t xml:space="preserve">evaluate risk-based treatment effect variation</w:t>
      </w:r>
      <w:r>
        <w:t xml:space="preserve"> </w:t>
      </w:r>
      <w:r>
        <w:t xml:space="preserve">[6]</w:t>
      </w:r>
      <w:r>
        <w:t xml:space="preserve">. This two-step</w:t>
      </w:r>
      <w:r>
        <w:t xml:space="preserve"> </w:t>
      </w:r>
      <w:r>
        <w:t xml:space="preserve">approach identified substantial absolute treatment effect differences between</w:t>
      </w:r>
      <w:r>
        <w:t xml:space="preserve"> </w:t>
      </w:r>
      <w:r>
        <w:t xml:space="preserve">low-risk and high-risk patients in a re-analysis of 32 large trials</w:t>
      </w:r>
      <w:r>
        <w:t xml:space="preserve"> </w:t>
      </w:r>
      <w:r>
        <w:t xml:space="preserve">[7]</w:t>
      </w:r>
      <w:r>
        <w:t xml:space="preserve">. However, even though estimates at the risk subgroup level may be</w:t>
      </w:r>
      <w:r>
        <w:t xml:space="preserve"> </w:t>
      </w:r>
      <w:r>
        <w:t xml:space="preserve">accurate, these estimates may need further refinement for individual patients,</w:t>
      </w:r>
      <w:r>
        <w:t xml:space="preserve"> </w:t>
      </w:r>
      <w:r>
        <w:t xml:space="preserve">especially for patients with predicted risk at the boundaries of the risk</w:t>
      </w:r>
      <w:r>
        <w:t xml:space="preserve"> </w:t>
      </w:r>
      <w:r>
        <w:t xml:space="preserve">intervals. Hence, the risk-stratified approach is useful for exploring and</w:t>
      </w:r>
      <w:r>
        <w:t xml:space="preserve"> </w:t>
      </w:r>
      <w:r>
        <w:t xml:space="preserve">presenting HTE, but is not sufficient for supporting treatment decisions for</w:t>
      </w:r>
      <w:r>
        <w:t xml:space="preserve"> </w:t>
      </w:r>
      <w:r>
        <w:t xml:space="preserve">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In the current simulation study, we aim to summarize and compare</w:t>
      </w:r>
      <w:r>
        <w:t xml:space="preserve"> </w:t>
      </w:r>
      <w:r>
        <w:t xml:space="preserve">different risk-based models for predicting individualized treatment effects. We</w:t>
      </w:r>
      <w:r>
        <w:t xml:space="preserve"> </w:t>
      </w:r>
      <w:r>
        <w:t xml:space="preserve">simulate different relations between baseline risk and treatment effects and also consider potential harms of treatment. We</w:t>
      </w:r>
      <w:r>
        <w:t xml:space="preserve"> </w:t>
      </w:r>
      <w:r>
        <w:t xml:space="preserve">illustrate the different models by a case study of predicting individualized</w:t>
      </w:r>
      <w:r>
        <w:t xml:space="preserve"> </w:t>
      </w:r>
      <w:r>
        <w:t xml:space="preserve">effects of treatment for acute myocardial infarction (MI) in a large randomized</w:t>
      </w:r>
      <w:r>
        <w:t xml:space="preserve"> </w:t>
      </w:r>
      <w:r>
        <w:t xml:space="preserve">controlled trial (RCT).</w:t>
      </w:r>
    </w:p>
    <w:p>
      <w:pPr>
        <w:pStyle w:val="Heading1"/>
      </w:pPr>
      <w:bookmarkStart w:id="24" w:name="methods"/>
      <w:r>
        <w:t xml:space="preserve">2	Methods</w:t>
      </w:r>
      <w:bookmarkEnd w:id="24"/>
    </w:p>
    <w:p>
      <w:pPr>
        <w:pStyle w:val="Heading2"/>
      </w:pPr>
      <w:bookmarkStart w:id="25" w:name="simulation-scenarios"/>
      <w:r>
        <w:t xml:space="preserve">2.1	Simulation scenarios</w:t>
      </w:r>
      <w:bookmarkEnd w:id="25"/>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6" w:name="Xb37b94395c9dcd71a7e049da9532c39bd59bd2e"/>
      <w:r>
        <w:t xml:space="preserve">2.2	Individualized risk-based benefit predictions</w:t>
      </w:r>
      <w:bookmarkEnd w:id="26"/>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Baseline risk predictions for individual patients were derived by</w:t>
      </w:r>
      <w:r>
        <w:t xml:space="preserve"> </w:t>
      </w:r>
      <w:r>
        <w:t xml:space="preserve">setting treatment assignment to 0. Another common approach is to derive the</w:t>
      </w:r>
      <w:r>
        <w:t xml:space="preserve"> </w:t>
      </w:r>
      <w:r>
        <w:t xml:space="preserve">prediction model solely on the control patients, however this approach has been</w:t>
      </w:r>
      <w:r>
        <w:t xml:space="preserve"> </w:t>
      </w:r>
      <w:r>
        <w:t xml:space="preserve">shown to 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w:t>
      </w:r>
      <w:r>
        <w:t xml:space="preserve"> </w:t>
      </w:r>
      <w:r>
        <w:t xml:space="preserve">[3,4]</w:t>
      </w:r>
      <w:r>
        <w:t xml:space="preserve">. Patients are stratified into</w:t>
      </w:r>
      <w:r>
        <w:t xml:space="preserve"> </w:t>
      </w:r>
      <w:r>
        <w:t xml:space="preserve">equally-sized risk strata—in this case based on risk quartiles. Absolute</w:t>
      </w:r>
      <w:r>
        <w:t xml:space="preserve"> </w:t>
      </w:r>
      <w:r>
        <w:t xml:space="preserve">treatment effects within risk strata are estimated by the difference in event</w:t>
      </w:r>
      <w:r>
        <w:t xml:space="preserve"> </w:t>
      </w:r>
      <w:r>
        <w:t xml:space="preserve">rate between patients in the control arm and patients in the treated arm. We</w:t>
      </w:r>
      <w:r>
        <w:t xml:space="preserve"> </w:t>
      </w:r>
      <w:r>
        <w:t xml:space="preserve">considered this approach as a reference, expecting it to perform worse than the</w:t>
      </w:r>
      <w:r>
        <w:t xml:space="preserve"> </w:t>
      </w:r>
      <w:r>
        <w:t xml:space="preserve">other candidates, as its objective is to provide an illustration of HTE rather</w:t>
      </w:r>
      <w:r>
        <w:t xml:space="preserve"> </w:t>
      </w:r>
      <w:r>
        <w:t xml:space="preserve">than to optimize individualized benefit 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7" w:name="evaluation-metrics"/>
      <w:r>
        <w:t xml:space="preserve">2.3	Evaluation metrics</w:t>
      </w:r>
      <w:bookmarkEnd w:id="27"/>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BodyText"/>
      </w:pPr>
      <w:r>
        <w:t xml:space="preserve">For each scenario setting we performed 500 replications, within which all the</w:t>
      </w:r>
      <w:r>
        <w:t xml:space="preserve"> </w:t>
      </w:r>
      <w:r>
        <w:t xml:space="preserve">considered models were fitted. For comparing between models we simulated a</w:t>
      </w:r>
      <w:r>
        <w:t xml:space="preserve"> </w:t>
      </w:r>
      <w:r>
        <w:t xml:space="preserve">super-population of size 500,000 for each scenario. We calculated RMSE and</w:t>
      </w:r>
      <w:r>
        <w:t xml:space="preserve"> </w:t>
      </w:r>
      <w:r>
        <w:t xml:space="preserve">discrimination and calibration for benefit of the models derived in each</w:t>
      </w:r>
      <w:r>
        <w:t xml:space="preserve"> </w:t>
      </w:r>
      <w:r>
        <w:t xml:space="preserve">replication of our simulation settings within this super-population.</w:t>
      </w:r>
    </w:p>
    <w:p>
      <w:pPr>
        <w:pStyle w:val="Heading2"/>
      </w:pPr>
      <w:bookmarkStart w:id="28" w:name="empirical-illustration"/>
      <w:r>
        <w:t xml:space="preserve">2.4	Empirical illustration</w:t>
      </w:r>
      <w:bookmarkEnd w:id="28"/>
    </w:p>
    <w:p>
      <w:pPr>
        <w:pStyle w:val="FirstParagraph"/>
      </w:pPr>
      <w:r>
        <w:t xml:space="preserve">We demonstrated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BodyText"/>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(Supplement, Section 8).</w:t>
      </w:r>
    </w:p>
    <w:p>
      <w:pPr>
        <w:pStyle w:val="Heading1"/>
      </w:pPr>
      <w:bookmarkStart w:id="29" w:name="results"/>
      <w:r>
        <w:t xml:space="preserve">3	Results</w:t>
      </w:r>
      <w:bookmarkEnd w:id="29"/>
    </w:p>
    <w:p>
      <w:pPr>
        <w:pStyle w:val="Heading2"/>
      </w:pPr>
      <w:bookmarkStart w:id="30" w:name="simulations"/>
      <w:r>
        <w:t xml:space="preserve">3.1	Simulations</w:t>
      </w:r>
      <w:bookmarkEnd w:id="30"/>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S3).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S4).</w:t>
      </w:r>
    </w:p>
    <w:p>
      <w:pPr>
        <w:pStyle w:val="CaptionedFigure"/>
      </w:pPr>
      <w:r>
        <w:drawing>
          <wp:inline>
            <wp:extent cx="4620126" cy="3696101"/>
            <wp:effectExtent b="0" l="0" r="0" t="0"/>
            <wp:docPr descr="Figure 3.2: RMSE of the considered methods across 500 replications calculated in simulated samples of size 17,000 rather than 4,250 in Figure . RMSE was calculated on a super-population of size 500,000"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r>
        <w:t xml:space="preserve">. RMSE was calculated on a super-population of size 500,000</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S5).</w:t>
      </w:r>
    </w:p>
    <w:p>
      <w:pPr>
        <w:pStyle w:val="CaptionedFigure"/>
      </w:pPr>
      <w:r>
        <w:drawing>
          <wp:inline>
            <wp:extent cx="4620126" cy="3696101"/>
            <wp:effectExtent b="0" l="0" r="0" t="0"/>
            <wp:docPr descr="Figure 3.3: RMSE of the considered methods across 500 replications calculated in simulated samples 4,250. True prediction AUC of 0.85. RMSE was calculated on a super-population of size 500,00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simulated samples 4,250. True prediction AUC of 0.85. RMSE was calculated on a super-population of size 500,000</w:t>
      </w:r>
    </w:p>
    <w:p>
      <w:pPr>
        <w:pStyle w:val="BodyText"/>
      </w:pPr>
      <w:r>
        <w:t xml:space="preserve">When assuming a true constant relative treatment effect, discrimination for</w:t>
      </w:r>
      <w:r>
        <w:t xml:space="preserve"> </w:t>
      </w:r>
      <w:r>
        <w:t xml:space="preserve">benefit was only slightly lower for the linear interaction model, but</w:t>
      </w:r>
      <w:r>
        <w:t xml:space="preserve"> </w:t>
      </w:r>
      <w:r>
        <w:t xml:space="preserve">substantially lower for the non-linear RCS approaches (Figure</w:t>
      </w:r>
      <w:r>
        <w:t xml:space="preserve"> </w:t>
      </w:r>
      <w:r>
        <w:t xml:space="preserve">; panel A). With strong linear or quadratic deviations</w:t>
      </w:r>
      <w:r>
        <w:t xml:space="preserve"> </w:t>
      </w:r>
      <w:r>
        <w:t xml:space="preserve">from a constant relative treatment effect, all methods discriminated quite</w:t>
      </w:r>
      <w:r>
        <w:t xml:space="preserve"> </w:t>
      </w:r>
      <w:r>
        <w:t xml:space="preserve">similarly (Figure</w:t>
      </w:r>
      <w:r>
        <w:t xml:space="preserve"> </w:t>
      </w:r>
      <w:r>
        <w:t xml:space="preserve">; panels B-C). In the scenario with</w:t>
      </w:r>
      <w:r>
        <w:t xml:space="preserve"> </w:t>
      </w:r>
      <w:r>
        <w:t xml:space="preserve">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S6). Finally, when we increased the true prediction</w:t>
      </w:r>
      <w:r>
        <w:t xml:space="preserve"> </w:t>
      </w:r>
      <w:r>
        <w:t xml:space="preserve">AUC to 0.85 the adaptive approach in the case of non-monotonic deviations was,</w:t>
      </w:r>
      <w:r>
        <w:t xml:space="preserve"> </w:t>
      </w:r>
      <w:r>
        <w:t xml:space="preserve">again, more conservative, especially with null or moderate treatment-related</w:t>
      </w:r>
      <w:r>
        <w:t xml:space="preserve"> </w:t>
      </w:r>
      <w:r>
        <w:t xml:space="preserve">harms (Supplement, Figure S5).</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5">
        <w:r>
          <w:rPr>
            <w:rStyle w:val="Hyperlink"/>
          </w:rPr>
          <w:t xml:space="preserve">https://arekkas.shinyapps.io/simulation_viewer/</w:t>
        </w:r>
      </w:hyperlink>
      <w:r>
        <w:t xml:space="preserve">. Additionally,</w:t>
      </w:r>
      <w:r>
        <w:t xml:space="preserve"> </w:t>
      </w:r>
      <w:r>
        <w:t xml:space="preserve">all the code for the simulations can be found at</w:t>
      </w:r>
      <w:r>
        <w:t xml:space="preserve"> </w:t>
      </w:r>
      <w:hyperlink r:id="rId36">
        <w:r>
          <w:rPr>
            <w:rStyle w:val="Hyperlink"/>
          </w:rPr>
          <w:t xml:space="preserve">https://github.com/rekkasa/arekkas_HteSimulation_XXXX_2021</w:t>
        </w:r>
      </w:hyperlink>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8" w:name="empirical-illustration-1"/>
      <w:r>
        <w:t xml:space="preserve">3.2	Empirical illustration</w:t>
      </w:r>
      <w:bookmarkEnd w:id="38"/>
    </w:p>
    <w:p>
      <w:pPr>
        <w:pStyle w:val="FirstParagraph"/>
      </w:pPr>
      <w:r>
        <w:t xml:space="preserve">We used the derived prognostic index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w:t>
      </w:r>
    </w:p>
    <w:p>
      <w:pPr>
        <w:pStyle w:val="Heading1"/>
      </w:pPr>
      <w:bookmarkStart w:id="40" w:name="discussion"/>
      <w:r>
        <w:t xml:space="preserve">4	Discussion</w:t>
      </w:r>
      <w:bookmarkEnd w:id="40"/>
    </w:p>
    <w:p>
      <w:pPr>
        <w:pStyle w:val="FirstParagraph"/>
      </w:pPr>
      <w:r>
        <w:t xml:space="preserve">The linear interaction model and the RCS-3 model both displayed very good</w:t>
      </w:r>
      <w:r>
        <w:t xml:space="preserve"> </w:t>
      </w:r>
      <w:r>
        <w:t xml:space="preserve">performance under many of the considered simulation scenarios. The linear</w:t>
      </w:r>
      <w:r>
        <w:t xml:space="preserve"> </w:t>
      </w:r>
      <w:r>
        <w:t xml:space="preserve">interaction model was optimal in cases with smaller sample sizes and moderately</w:t>
      </w:r>
      <w:r>
        <w:t xml:space="preserve"> </w:t>
      </w:r>
      <w:r>
        <w:t xml:space="preserve">performing baseline risk prediction models, that is, it had lower RMSE, was</w:t>
      </w:r>
      <w:r>
        <w:t xml:space="preserve"> </w:t>
      </w:r>
      <w:r>
        <w:t xml:space="preserve">better calibrated for benefit and had better discrimination for benefit, even in</w:t>
      </w:r>
      <w:r>
        <w:t xml:space="preserve"> </w:t>
      </w:r>
      <w:r>
        <w:t xml:space="preserve">scenarios with strong quadratic deviations. In scenarios with true non-monotonic</w:t>
      </w:r>
      <w:r>
        <w:t xml:space="preserve"> </w:t>
      </w:r>
      <w:r>
        <w:t xml:space="preserve">deviations, the linear interaction model was outperformed by RCS-3, especially</w:t>
      </w:r>
      <w:r>
        <w:t xml:space="preserve"> </w:t>
      </w:r>
      <w:r>
        <w:t xml:space="preserve">in the presence of true treatment-related harms. Increasing the sample size or</w:t>
      </w:r>
      <w:r>
        <w:t xml:space="preserve"> </w:t>
      </w:r>
      <w:r>
        <w:t xml:space="preserve">the prediction model’s discriminative ability favored RCS-3, especially in</w:t>
      </w:r>
      <w:r>
        <w:t xml:space="preserve"> </w:t>
      </w:r>
      <w:r>
        <w:t xml:space="preserve">scenarios with non-monotonic deviations and in the presence of treatment-related</w:t>
      </w:r>
      <w:r>
        <w:t xml:space="preserve"> </w:t>
      </w:r>
      <w:r>
        <w:t xml:space="preserve">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 Section 4).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in the presence of any suspected</w:t>
      </w:r>
      <w:r>
        <w:t xml:space="preserve"> </w:t>
      </w:r>
      <w:r>
        <w:t xml:space="preserve">treatment-related harms.</w:t>
      </w:r>
    </w:p>
    <w:p>
      <w:pPr>
        <w:pStyle w:val="BodyText"/>
      </w:pPr>
      <w:r>
        <w:t xml:space="preserve">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7.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However, whether this remains</w:t>
      </w:r>
      <w:r>
        <w:t xml:space="preserve"> </w:t>
      </w:r>
      <w:r>
        <w:t xml:space="preserve">the case in a range of empirical settings still needs to be explored Similarly,</w:t>
      </w:r>
      <w:r>
        <w:t xml:space="preserve"> </w:t>
      </w:r>
      <w:r>
        <w:t xml:space="preserve">when SYNTAX score II, a model developed for identifying patients with complex</w:t>
      </w:r>
      <w:r>
        <w:t xml:space="preserve"> </w:t>
      </w:r>
      <w:r>
        <w:t xml:space="preserve">coronary artery disease that benefit more from percutaneous coronary</w:t>
      </w:r>
      <w:r>
        <w:t xml:space="preserve"> </w:t>
      </w:r>
      <w:r>
        <w:t xml:space="preserve">intervention or from coronary artery bypass grafting was redeveloped using fewer</w:t>
      </w:r>
      <w:r>
        <w:t xml:space="preserve"> </w:t>
      </w:r>
      <w:r>
        <w:t xml:space="preserve">treatment-covariate 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41" w:name="references"/>
      <w:r>
        <w:t xml:space="preserve">5	References</w:t>
      </w:r>
      <w:bookmarkEnd w:id="41"/>
    </w:p>
    <w:p>
      <w:pPr>
        <w:pStyle w:val="FirstParagraph"/>
      </w:pPr>
    </w:p>
    <w:bookmarkStart w:id="81" w:name="refs"/>
    <w:bookmarkStart w:id="43"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42">
        <w:r>
          <w:rPr>
            <w:rStyle w:val="Hyperlink"/>
          </w:rPr>
          <w:t xml:space="preserve">https://doi.org/10.1016/j.jclinepi.2013.02.009</w:t>
        </w:r>
      </w:hyperlink>
      <w:r>
        <w:t xml:space="preserve">.</w:t>
      </w:r>
    </w:p>
    <w:bookmarkEnd w:id="43"/>
    <w:bookmarkStart w:id="45"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4">
        <w:r>
          <w:rPr>
            <w:rStyle w:val="Hyperlink"/>
          </w:rPr>
          <w:t xml:space="preserve">https://doi.org/10.1186/s12874-020-01145-1</w:t>
        </w:r>
      </w:hyperlink>
      <w:r>
        <w:t xml:space="preserve">.</w:t>
      </w:r>
    </w:p>
    <w:bookmarkEnd w:id="45"/>
    <w:bookmarkStart w:id="47"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6">
        <w:r>
          <w:rPr>
            <w:rStyle w:val="Hyperlink"/>
          </w:rPr>
          <w:t xml:space="preserve">https://doi.org/10.7326/m18-3667</w:t>
        </w:r>
      </w:hyperlink>
      <w:r>
        <w:t xml:space="preserve">.</w:t>
      </w:r>
    </w:p>
    <w:bookmarkEnd w:id="47"/>
    <w:bookmarkStart w:id="49"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8">
        <w:r>
          <w:rPr>
            <w:rStyle w:val="Hyperlink"/>
          </w:rPr>
          <w:t xml:space="preserve">https://doi.org/10.7326/m18-3668</w:t>
        </w:r>
      </w:hyperlink>
      <w:r>
        <w:t xml:space="preserve">.</w:t>
      </w:r>
    </w:p>
    <w:bookmarkEnd w:id="49"/>
    <w:bookmarkStart w:id="51"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50">
        <w:r>
          <w:rPr>
            <w:rStyle w:val="Hyperlink"/>
          </w:rPr>
          <w:t xml:space="preserve">https://doi.org/10.1016/j.jclinepi.2019.05.029</w:t>
        </w:r>
      </w:hyperlink>
      <w:r>
        <w:t xml:space="preserve">.</w:t>
      </w:r>
    </w:p>
    <w:bookmarkEnd w:id="51"/>
    <w:bookmarkStart w:id="53"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52">
        <w:r>
          <w:rPr>
            <w:rStyle w:val="Hyperlink"/>
          </w:rPr>
          <w:t xml:space="preserve">https://doi.org/10.1186/1745-6215-11-85</w:t>
        </w:r>
      </w:hyperlink>
      <w:r>
        <w:t xml:space="preserve">.</w:t>
      </w:r>
    </w:p>
    <w:bookmarkEnd w:id="53"/>
    <w:bookmarkStart w:id="55"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4">
        <w:r>
          <w:rPr>
            <w:rStyle w:val="Hyperlink"/>
          </w:rPr>
          <w:t xml:space="preserve">https://doi.org/10.1093/ije/dyw118</w:t>
        </w:r>
      </w:hyperlink>
      <w:r>
        <w:t xml:space="preserve">.</w:t>
      </w:r>
    </w:p>
    <w:bookmarkEnd w:id="55"/>
    <w:bookmarkStart w:id="57"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6">
        <w:r>
          <w:rPr>
            <w:rStyle w:val="Hyperlink"/>
          </w:rPr>
          <w:t xml:space="preserve">https://doi.org/10.1161/circoutcomes.113.000497</w:t>
        </w:r>
      </w:hyperlink>
      <w:r>
        <w:t xml:space="preserve">.</w:t>
      </w:r>
    </w:p>
    <w:bookmarkEnd w:id="57"/>
    <w:bookmarkStart w:id="59" w:name="ref-Abadie2018"/>
    <w:p>
      <w:pPr>
        <w:pStyle w:val="Bibliography"/>
      </w:pPr>
      <w:r>
        <w:t xml:space="preserve">[9] Abadie A, Chingos MM, West MR. Endogenous stratification in randomized experiments. The Review of Economics and Statistics 2018;100:567–80.</w:t>
      </w:r>
      <w:r>
        <w:t xml:space="preserve"> </w:t>
      </w:r>
      <w:hyperlink r:id="rId58">
        <w:r>
          <w:rPr>
            <w:rStyle w:val="Hyperlink"/>
          </w:rPr>
          <w:t xml:space="preserve">https://doi.org/10.1162/rest_a_00732</w:t>
        </w:r>
      </w:hyperlink>
      <w:r>
        <w:t xml:space="preserve">.</w:t>
      </w:r>
    </w:p>
    <w:bookmarkEnd w:id="59"/>
    <w:bookmarkStart w:id="61"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60">
        <w:r>
          <w:rPr>
            <w:rStyle w:val="Hyperlink"/>
          </w:rPr>
          <w:t xml:space="preserve">https://doi.org/10.1093/jnci/80.15.1198</w:t>
        </w:r>
      </w:hyperlink>
      <w:r>
        <w:t xml:space="preserve">.</w:t>
      </w:r>
    </w:p>
    <w:bookmarkEnd w:id="61"/>
    <w:bookmarkStart w:id="63"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62">
        <w:r>
          <w:rPr>
            <w:rStyle w:val="Hyperlink"/>
          </w:rPr>
          <w:t xml:space="preserve">https://doi.org/10.1016/j.jclinepi.2017.10.021</w:t>
        </w:r>
      </w:hyperlink>
      <w:r>
        <w:t xml:space="preserve">.</w:t>
      </w:r>
    </w:p>
    <w:bookmarkEnd w:id="63"/>
    <w:bookmarkStart w:id="65"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4">
        <w:r>
          <w:rPr>
            <w:rStyle w:val="Hyperlink"/>
          </w:rPr>
          <w:t xml:space="preserve">https://doi.org/10.1002/sim.8281</w:t>
        </w:r>
      </w:hyperlink>
      <w:r>
        <w:t xml:space="preserve">.</w:t>
      </w:r>
    </w:p>
    <w:bookmarkEnd w:id="65"/>
    <w:bookmarkStart w:id="67"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6">
        <w:r>
          <w:rPr>
            <w:rStyle w:val="Hyperlink"/>
          </w:rPr>
          <w:t xml:space="preserve">https://doi.org/10.1016/s0002-8703(97)70164-9</w:t>
        </w:r>
      </w:hyperlink>
      <w:r>
        <w:t xml:space="preserve">.</w:t>
      </w:r>
    </w:p>
    <w:bookmarkEnd w:id="67"/>
    <w:bookmarkStart w:id="69"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8">
        <w:r>
          <w:rPr>
            <w:rStyle w:val="Hyperlink"/>
          </w:rPr>
          <w:t xml:space="preserve">https://doi.org/10.1016/s0002-8703(00)90001-2</w:t>
        </w:r>
      </w:hyperlink>
      <w:r>
        <w:t xml:space="preserve">.</w:t>
      </w:r>
    </w:p>
    <w:bookmarkEnd w:id="69"/>
    <w:bookmarkStart w:id="71" w:name="ref-Glasziou1995"/>
    <w:p>
      <w:pPr>
        <w:pStyle w:val="Bibliography"/>
      </w:pPr>
      <w:r>
        <w:t xml:space="preserve">[15] Glasziou PP, Irwig LM. An evidence based approach to individualising treatment. BMJ 1995;311:1356–9.</w:t>
      </w:r>
      <w:r>
        <w:t xml:space="preserve"> </w:t>
      </w:r>
      <w:hyperlink r:id="rId70">
        <w:r>
          <w:rPr>
            <w:rStyle w:val="Hyperlink"/>
          </w:rPr>
          <w:t xml:space="preserve">https://doi.org/10.1136/bmj.311.7016.1356</w:t>
        </w:r>
      </w:hyperlink>
      <w:r>
        <w:t xml:space="preserve">.</w:t>
      </w:r>
    </w:p>
    <w:bookmarkEnd w:id="71"/>
    <w:bookmarkStart w:id="73" w:name="ref-Athey2019"/>
    <w:p>
      <w:pPr>
        <w:pStyle w:val="Bibliography"/>
      </w:pPr>
      <w:r>
        <w:t xml:space="preserve">[16] Athey S, Tibshirani J, Wager S. Generalized random forests. The Annals of Statistics 2019;47.</w:t>
      </w:r>
      <w:r>
        <w:t xml:space="preserve"> </w:t>
      </w:r>
      <w:hyperlink r:id="rId72">
        <w:r>
          <w:rPr>
            <w:rStyle w:val="Hyperlink"/>
          </w:rPr>
          <w:t xml:space="preserve">https://doi.org/10.1214/18-aos1709</w:t>
        </w:r>
      </w:hyperlink>
      <w:r>
        <w:t xml:space="preserve">.</w:t>
      </w:r>
    </w:p>
    <w:bookmarkEnd w:id="73"/>
    <w:bookmarkStart w:id="75"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4">
        <w:r>
          <w:rPr>
            <w:rStyle w:val="Hyperlink"/>
          </w:rPr>
          <w:t xml:space="preserve">https://doi.org/10.1080/10618600.2017.1356325</w:t>
        </w:r>
      </w:hyperlink>
      <w:r>
        <w:t xml:space="preserve">.</w:t>
      </w:r>
    </w:p>
    <w:bookmarkEnd w:id="75"/>
    <w:bookmarkStart w:id="77"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6">
        <w:r>
          <w:rPr>
            <w:rStyle w:val="Hyperlink"/>
          </w:rPr>
          <w:t xml:space="preserve">https://doi.org/10.1080/01621459.2017.1319839</w:t>
        </w:r>
      </w:hyperlink>
      <w:r>
        <w:t xml:space="preserve">.</w:t>
      </w:r>
    </w:p>
    <w:bookmarkEnd w:id="77"/>
    <w:bookmarkStart w:id="78"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8"/>
    <w:bookmarkStart w:id="79"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9"/>
    <w:bookmarkStart w:id="80"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80"/>
    <w:bookmarkEnd w:id="81"/>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5" Target="https://arekkas.shinyapps.io/simulation_viewer/" TargetMode="External" /><Relationship Type="http://schemas.openxmlformats.org/officeDocument/2006/relationships/hyperlink" Id="rId64" Target="https://doi.org/10.1002/sim.8281" TargetMode="External" /><Relationship Type="http://schemas.openxmlformats.org/officeDocument/2006/relationships/hyperlink" Id="rId42" Target="https://doi.org/10.1016/j.jclinepi.2013.02.009" TargetMode="External" /><Relationship Type="http://schemas.openxmlformats.org/officeDocument/2006/relationships/hyperlink" Id="rId62" Target="https://doi.org/10.1016/j.jclinepi.2017.10.021" TargetMode="External" /><Relationship Type="http://schemas.openxmlformats.org/officeDocument/2006/relationships/hyperlink" Id="rId50" Target="https://doi.org/10.1016/j.jclinepi.2019.05.029" TargetMode="External" /><Relationship Type="http://schemas.openxmlformats.org/officeDocument/2006/relationships/hyperlink" Id="rId68" Target="https://doi.org/10.1016/s0002-8703(00)90001-2" TargetMode="External" /><Relationship Type="http://schemas.openxmlformats.org/officeDocument/2006/relationships/hyperlink" Id="rId66" Target="https://doi.org/10.1016/s0002-8703(97)70164-9" TargetMode="External" /><Relationship Type="http://schemas.openxmlformats.org/officeDocument/2006/relationships/hyperlink" Id="rId76" Target="https://doi.org/10.1080/01621459.2017.1319839" TargetMode="External" /><Relationship Type="http://schemas.openxmlformats.org/officeDocument/2006/relationships/hyperlink" Id="rId74" Target="https://doi.org/10.1080/10618600.2017.1356325" TargetMode="External" /><Relationship Type="http://schemas.openxmlformats.org/officeDocument/2006/relationships/hyperlink" Id="rId54" Target="https://doi.org/10.1093/ije/dyw118" TargetMode="External" /><Relationship Type="http://schemas.openxmlformats.org/officeDocument/2006/relationships/hyperlink" Id="rId60" Target="https://doi.org/10.1093/jnci/80.15.1198" TargetMode="External" /><Relationship Type="http://schemas.openxmlformats.org/officeDocument/2006/relationships/hyperlink" Id="rId70" Target="https://doi.org/10.1136/bmj.311.7016.1356" TargetMode="External" /><Relationship Type="http://schemas.openxmlformats.org/officeDocument/2006/relationships/hyperlink" Id="rId56" Target="https://doi.org/10.1161/circoutcomes.113.000497" TargetMode="External" /><Relationship Type="http://schemas.openxmlformats.org/officeDocument/2006/relationships/hyperlink" Id="rId58" Target="https://doi.org/10.1162/rest_a_00732" TargetMode="External" /><Relationship Type="http://schemas.openxmlformats.org/officeDocument/2006/relationships/hyperlink" Id="rId52" Target="https://doi.org/10.1186/1745-6215-11-85" TargetMode="External" /><Relationship Type="http://schemas.openxmlformats.org/officeDocument/2006/relationships/hyperlink" Id="rId44" Target="https://doi.org/10.1186/s12874-020-01145-1" TargetMode="External" /><Relationship Type="http://schemas.openxmlformats.org/officeDocument/2006/relationships/hyperlink" Id="rId72" Target="https://doi.org/10.1214/18-aos1709" TargetMode="External" /><Relationship Type="http://schemas.openxmlformats.org/officeDocument/2006/relationships/hyperlink" Id="rId46" Target="https://doi.org/10.7326/m18-3667" TargetMode="External" /><Relationship Type="http://schemas.openxmlformats.org/officeDocument/2006/relationships/hyperlink" Id="rId48" Target="https://doi.org/10.7326/m18-3668" TargetMode="External" /><Relationship Type="http://schemas.openxmlformats.org/officeDocument/2006/relationships/hyperlink" Id="rId36" Target="https://github.com/rekkasa/arekkas_HteSimulation_XXXX_2021" TargetMode="External" /></Relationships>
</file>

<file path=word/_rels/footnotes.xml.rels><?xml version="1.0" encoding="UTF-8"?>
<Relationships xmlns="http://schemas.openxmlformats.org/package/2006/relationships"><Relationship Type="http://schemas.openxmlformats.org/officeDocument/2006/relationships/hyperlink" Id="rId35" Target="https://arekkas.shinyapps.io/simulation_viewer/" TargetMode="External" /><Relationship Type="http://schemas.openxmlformats.org/officeDocument/2006/relationships/hyperlink" Id="rId64" Target="https://doi.org/10.1002/sim.8281" TargetMode="External" /><Relationship Type="http://schemas.openxmlformats.org/officeDocument/2006/relationships/hyperlink" Id="rId42" Target="https://doi.org/10.1016/j.jclinepi.2013.02.009" TargetMode="External" /><Relationship Type="http://schemas.openxmlformats.org/officeDocument/2006/relationships/hyperlink" Id="rId62" Target="https://doi.org/10.1016/j.jclinepi.2017.10.021" TargetMode="External" /><Relationship Type="http://schemas.openxmlformats.org/officeDocument/2006/relationships/hyperlink" Id="rId50" Target="https://doi.org/10.1016/j.jclinepi.2019.05.029" TargetMode="External" /><Relationship Type="http://schemas.openxmlformats.org/officeDocument/2006/relationships/hyperlink" Id="rId68" Target="https://doi.org/10.1016/s0002-8703(00)90001-2" TargetMode="External" /><Relationship Type="http://schemas.openxmlformats.org/officeDocument/2006/relationships/hyperlink" Id="rId66" Target="https://doi.org/10.1016/s0002-8703(97)70164-9" TargetMode="External" /><Relationship Type="http://schemas.openxmlformats.org/officeDocument/2006/relationships/hyperlink" Id="rId76" Target="https://doi.org/10.1080/01621459.2017.1319839" TargetMode="External" /><Relationship Type="http://schemas.openxmlformats.org/officeDocument/2006/relationships/hyperlink" Id="rId74" Target="https://doi.org/10.1080/10618600.2017.1356325" TargetMode="External" /><Relationship Type="http://schemas.openxmlformats.org/officeDocument/2006/relationships/hyperlink" Id="rId54" Target="https://doi.org/10.1093/ije/dyw118" TargetMode="External" /><Relationship Type="http://schemas.openxmlformats.org/officeDocument/2006/relationships/hyperlink" Id="rId60" Target="https://doi.org/10.1093/jnci/80.15.1198" TargetMode="External" /><Relationship Type="http://schemas.openxmlformats.org/officeDocument/2006/relationships/hyperlink" Id="rId70" Target="https://doi.org/10.1136/bmj.311.7016.1356" TargetMode="External" /><Relationship Type="http://schemas.openxmlformats.org/officeDocument/2006/relationships/hyperlink" Id="rId56" Target="https://doi.org/10.1161/circoutcomes.113.000497" TargetMode="External" /><Relationship Type="http://schemas.openxmlformats.org/officeDocument/2006/relationships/hyperlink" Id="rId58" Target="https://doi.org/10.1162/rest_a_00732" TargetMode="External" /><Relationship Type="http://schemas.openxmlformats.org/officeDocument/2006/relationships/hyperlink" Id="rId52" Target="https://doi.org/10.1186/1745-6215-11-85" TargetMode="External" /><Relationship Type="http://schemas.openxmlformats.org/officeDocument/2006/relationships/hyperlink" Id="rId44" Target="https://doi.org/10.1186/s12874-020-01145-1" TargetMode="External" /><Relationship Type="http://schemas.openxmlformats.org/officeDocument/2006/relationships/hyperlink" Id="rId72" Target="https://doi.org/10.1214/18-aos1709" TargetMode="External" /><Relationship Type="http://schemas.openxmlformats.org/officeDocument/2006/relationships/hyperlink" Id="rId46" Target="https://doi.org/10.7326/m18-3667" TargetMode="External" /><Relationship Type="http://schemas.openxmlformats.org/officeDocument/2006/relationships/hyperlink" Id="rId48" Target="https://doi.org/10.7326/m18-3668" TargetMode="External" /><Relationship Type="http://schemas.openxmlformats.org/officeDocument/2006/relationships/hyperlink" Id="rId36" Target="https://github.com/rekkasa/arekkas_HteSimulation_XXXX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2022-03-22T14:07:36Z</dcterms:created>
  <dcterms:modified xsi:type="dcterms:W3CDTF">2022-03-22T14:07:36Z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displayed robust performance across many simulation scenarios. The RCS-model was optimal when quadratic or non-monotonic deviations from a constant treatment effect were stronger, and when sample size was larger. The adaptive approach required larger sample sizes. Illustrations in the GUSTO-I trial confirmed these findings. Conclusion: An interaction between baseline risk and treatment assignment should be considered to improve treatment effect predictions.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