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4.png" ContentType="image/png"/>
  <Override PartName="/word/media/rId56.png" ContentType="image/png"/>
  <Override PartName="/word/media/rId55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osteoporosis[8]. We included female participants above</w:t>
      </w:r>
      <w:r>
        <w:t xml:space="preserve"> </w:t>
      </w:r>
      <w:r>
        <w:t xml:space="preserve">the age of 50 with established osteoporosis (any condition occurrence</w:t>
      </w:r>
      <w:r>
        <w:t xml:space="preserve"> </w:t>
      </w:r>
      <w:r>
        <w:t xml:space="preserve">of hip, wrist, spine or shoulder/humerus fracture in their history,</w:t>
      </w:r>
      <w:r>
        <w:t xml:space="preserve"> </w:t>
      </w:r>
      <w:r>
        <w:t xml:space="preserve">prior to treatment initiation) and at least 365 days of continuous</w:t>
      </w:r>
      <w:r>
        <w:t xml:space="preserve"> </w:t>
      </w:r>
      <w:r>
        <w:t xml:space="preserve">observation period before the index event. Patients were considered to</w:t>
      </w:r>
      <w:r>
        <w:t xml:space="preserve"> </w:t>
      </w:r>
      <w:r>
        <w:t xml:space="preserve">be new-users if they received no anti-osteoporosis drugs (raloxifene,</w:t>
      </w:r>
      <w:r>
        <w:t xml:space="preserve"> </w:t>
      </w:r>
      <w:r>
        <w:t xml:space="preserve">bazedoxifene, denosumab, abaloparatide, romosozumab) 365 days prior to</w:t>
      </w:r>
      <w:r>
        <w:t xml:space="preserve"> </w:t>
      </w:r>
      <w:r>
        <w:t xml:space="preserve">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IMB MarketScan Commercial Database (CCAE)</w:t>
      </w:r>
      <w:r>
        <w:t xml:space="preserve"> </w:t>
      </w:r>
      <w:r>
        <w:t xml:space="preserve">includes health</w:t>
      </w:r>
      <w:r>
        <w:t xml:space="preserve"> </w:t>
      </w:r>
      <w:r>
        <w:t xml:space="preserve">insurance claims across the continuum of care (e.g. inpatient,</w:t>
      </w:r>
      <w:r>
        <w:t xml:space="preserve"> </w:t>
      </w:r>
      <w:r>
        <w:t xml:space="preserve">outpatient, outpatient pharmacy, carve-out behavioral healthcare) as</w:t>
      </w:r>
      <w:r>
        <w:t xml:space="preserve"> </w:t>
      </w:r>
      <w:r>
        <w:t xml:space="preserve">well as enrollment data from large employers and health plans across</w:t>
      </w:r>
      <w:r>
        <w:t xml:space="preserve"> </w:t>
      </w:r>
      <w:r>
        <w:t xml:space="preserve">the United States who provide private healthcare coverage for more</w:t>
      </w:r>
      <w:r>
        <w:t xml:space="preserve"> </w:t>
      </w:r>
      <w:r>
        <w:t xml:space="preserve">than 155 million employees, their spouses, and dependents. This</w:t>
      </w:r>
      <w:r>
        <w:t xml:space="preserve"> </w:t>
      </w:r>
      <w:r>
        <w:t xml:space="preserve">administrative claims database includes a variety of fee-</w:t>
      </w:r>
      <w:r>
        <w:t xml:space="preserve"> </w:t>
      </w:r>
      <w:r>
        <w:t xml:space="preserve">for-service, preferred provider organizations, and capitated health</w:t>
      </w:r>
      <w:r>
        <w:t xml:space="preserve"> </w:t>
      </w:r>
      <w:r>
        <w:t xml:space="preserve">plans.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</w:t>
      </w:r>
      <w:r>
        <w:rPr>
          <w:b/>
        </w:rPr>
        <w:t xml:space="preserve"> </w:t>
      </w:r>
      <w:r>
        <w:rPr>
          <w:b/>
        </w:rPr>
        <w:t xml:space="preserve">Death (Optum-DOD)</w:t>
      </w:r>
      <w:r>
        <w:t xml:space="preserve">: is derived from a database of administrative</w:t>
      </w:r>
      <w:r>
        <w:t xml:space="preserve"> </w:t>
      </w:r>
      <w:r>
        <w:t xml:space="preserve">health claims for members of large commercial and Medicare Advantage</w:t>
      </w:r>
      <w:r>
        <w:t xml:space="preserve"> </w:t>
      </w:r>
      <w:r>
        <w:t xml:space="preserve">health plans. The database includes approximately 17-19 million</w:t>
      </w:r>
      <w:r>
        <w:t xml:space="preserve"> </w:t>
      </w:r>
      <w:r>
        <w:t xml:space="preserve">annual covered lives, for a total of over 65 million unique lives</w:t>
      </w:r>
      <w:r>
        <w:t xml:space="preserve"> </w:t>
      </w:r>
      <w:r>
        <w:t xml:space="preserve">over a 12 year period (1/2007 through 12/2019). The population is</w:t>
      </w:r>
      <w:r>
        <w:t xml:space="preserve"> </w:t>
      </w:r>
      <w:r>
        <w:t xml:space="preserve">geographically diverse, spanning all 50 states.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derived from dozens of healthcare provider organizations in the</w:t>
      </w:r>
      <w:r>
        <w:t xml:space="preserve"> </w:t>
      </w:r>
      <w:r>
        <w:t xml:space="preserve">United States, that include more than 700 Hospitals and 7000</w:t>
      </w:r>
      <w:r>
        <w:t xml:space="preserve"> </w:t>
      </w:r>
      <w:r>
        <w:t xml:space="preserve">Clinics; treating more than 102 million patients receiving care in</w:t>
      </w:r>
      <w:r>
        <w:t xml:space="preserve"> </w:t>
      </w:r>
      <w:r>
        <w:t xml:space="preserve">the United States.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[8]</w:t>
      </w:r>
      <w:r>
        <w:t xml:space="preserve">. We estimated treatment effects using Cox proportional</w:t>
      </w:r>
      <w:r>
        <w:t xml:space="preserve"> </w:t>
      </w:r>
      <w:r>
        <w:t xml:space="preserve">hazards models with treatment as the sole covariate fitted in the 1:4</w:t>
      </w:r>
      <w:r>
        <w:t xml:space="preserve"> </w:t>
      </w:r>
      <w:r>
        <w:t xml:space="preserve">propensity score-matched subset of the considered patient</w:t>
      </w:r>
      <w:r>
        <w:t xml:space="preserve"> </w:t>
      </w:r>
      <w:r>
        <w:t xml:space="preserve">population. Hazard ratios (HR) derived in different databases were</w:t>
      </w:r>
      <w:r>
        <w:t xml:space="preserve"> </w:t>
      </w:r>
      <w:r>
        <w:t xml:space="preserve">summarized using 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[9,10]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(1:4)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[11,12]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treatment-effect-heterogeneity"/>
      <w:r>
        <w:t xml:space="preserve">3.1	Treatment effect heterogeneity</w:t>
      </w:r>
      <w:bookmarkEnd w:id="26"/>
    </w:p>
    <w:p>
      <w:pPr>
        <w:pStyle w:val="FirstParagraph"/>
      </w:pPr>
      <w:r>
        <w:rPr>
          <w:i/>
          <w:b/>
        </w:rPr>
        <w:t xml:space="preserve">[ Introductory stuff for Table 1 !! ]</w:t>
      </w:r>
    </w:p>
    <w:p>
      <w:r>
        <w:br w:type="page"/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5	References</w:t>
      </w:r>
      <w:bookmarkEnd w:id="28"/>
    </w:p>
    <w:p>
      <w:pPr>
        <w:pStyle w:val="FirstParagraph"/>
      </w:pPr>
    </w:p>
    <w:bookmarkStart w:id="52" w:name="refs"/>
    <w:bookmarkStart w:id="29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9"/>
    <w:bookmarkStart w:id="31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0">
        <w:r>
          <w:rPr>
            <w:rStyle w:val="Hyperlink"/>
          </w:rPr>
          <w:t xml:space="preserve">10.1007/s11926-008-0017-6</w:t>
        </w:r>
      </w:hyperlink>
    </w:p>
    <w:bookmarkEnd w:id="31"/>
    <w:bookmarkStart w:id="33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2">
        <w:r>
          <w:rPr>
            <w:rStyle w:val="Hyperlink"/>
          </w:rPr>
          <w:t xml:space="preserve">10.1056/nejm200105103441904</w:t>
        </w:r>
      </w:hyperlink>
    </w:p>
    <w:bookmarkEnd w:id="33"/>
    <w:bookmarkStart w:id="35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4">
        <w:r>
          <w:rPr>
            <w:rStyle w:val="Hyperlink"/>
          </w:rPr>
          <w:t xml:space="preserve">10.1016/s0140-6736(17)32137-2</w:t>
        </w:r>
      </w:hyperlink>
    </w:p>
    <w:bookmarkEnd w:id="35"/>
    <w:bookmarkStart w:id="37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6">
        <w:r>
          <w:rPr>
            <w:rStyle w:val="Hyperlink"/>
          </w:rPr>
          <w:t xml:space="preserve">10.1016/j.bone.2018.09.020</w:t>
        </w:r>
      </w:hyperlink>
    </w:p>
    <w:bookmarkEnd w:id="37"/>
    <w:bookmarkStart w:id="39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8">
        <w:r>
          <w:rPr>
            <w:rStyle w:val="Hyperlink"/>
          </w:rPr>
          <w:t xml:space="preserve">10.1007/s00198-016-3888-9</w:t>
        </w:r>
      </w:hyperlink>
    </w:p>
    <w:bookmarkEnd w:id="39"/>
    <w:bookmarkStart w:id="41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0">
        <w:r>
          <w:rPr>
            <w:rStyle w:val="Hyperlink"/>
          </w:rPr>
          <w:t xml:space="preserve">10.1007/s00223-018-0485-2</w:t>
        </w:r>
      </w:hyperlink>
    </w:p>
    <w:bookmarkEnd w:id="41"/>
    <w:bookmarkStart w:id="43" w:name="ref-Tian2018"/>
    <w:p>
      <w:pPr>
        <w:pStyle w:val="Bibliography"/>
      </w:pPr>
      <w:r>
        <w:t xml:space="preserve">8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2">
        <w:r>
          <w:rPr>
            <w:rStyle w:val="Hyperlink"/>
          </w:rPr>
          <w:t xml:space="preserve">10.1093/ije/dyy120</w:t>
        </w:r>
      </w:hyperlink>
    </w:p>
    <w:bookmarkEnd w:id="43"/>
    <w:bookmarkStart w:id="45" w:name="ref-Kent2019"/>
    <w:p>
      <w:pPr>
        <w:pStyle w:val="Bibliography"/>
      </w:pPr>
      <w:r>
        <w:t xml:space="preserve">9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4">
        <w:r>
          <w:rPr>
            <w:rStyle w:val="Hyperlink"/>
          </w:rPr>
          <w:t xml:space="preserve">10.7326/m18-3667</w:t>
        </w:r>
      </w:hyperlink>
    </w:p>
    <w:bookmarkEnd w:id="45"/>
    <w:bookmarkStart w:id="47" w:name="ref-KentEnE2019"/>
    <w:p>
      <w:pPr>
        <w:pStyle w:val="Bibliography"/>
      </w:pPr>
      <w:r>
        <w:t xml:space="preserve">10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6">
        <w:r>
          <w:rPr>
            <w:rStyle w:val="Hyperlink"/>
          </w:rPr>
          <w:t xml:space="preserve">10.7326/m18-3668</w:t>
        </w:r>
      </w:hyperlink>
    </w:p>
    <w:bookmarkEnd w:id="47"/>
    <w:bookmarkStart w:id="49" w:name="ref-Schuemie2013"/>
    <w:p>
      <w:pPr>
        <w:pStyle w:val="Bibliography"/>
      </w:pPr>
      <w:r>
        <w:t xml:space="preserve">11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8">
        <w:r>
          <w:rPr>
            <w:rStyle w:val="Hyperlink"/>
          </w:rPr>
          <w:t xml:space="preserve">10.1002/sim.5925</w:t>
        </w:r>
      </w:hyperlink>
    </w:p>
    <w:bookmarkEnd w:id="49"/>
    <w:bookmarkStart w:id="51" w:name="ref-Schuemie2016"/>
    <w:p>
      <w:pPr>
        <w:pStyle w:val="Bibliography"/>
      </w:pPr>
      <w:r>
        <w:t xml:space="preserve">12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0">
        <w:r>
          <w:rPr>
            <w:rStyle w:val="Hyperlink"/>
          </w:rPr>
          <w:t xml:space="preserve">10.1002/sim.6977</w:t>
        </w:r>
      </w:hyperlink>
    </w:p>
    <w:bookmarkEnd w:id="51"/>
    <w:bookmarkEnd w:id="52"/>
    <w:p>
      <w:pPr>
        <w:pStyle w:val="BodyText"/>
      </w:pPr>
    </w:p>
    <w:p>
      <w:r>
        <w:br w:type="page"/>
      </w:r>
    </w:p>
    <w:p>
      <w:pPr>
        <w:pStyle w:val="Heading1"/>
      </w:pPr>
      <w:bookmarkStart w:id="53" w:name="tables-and-figures"/>
      <w:r>
        <w:t xml:space="preserve">6	Tables and figures</w:t>
      </w:r>
      <w:bookmarkEnd w:id="53"/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Covariate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2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Ps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6.2: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3: Overall negative control 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N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6.3: Overall negative control plot.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4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6.4: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2021-12-02T19:13:01Z</dcterms:created>
  <dcterms:modified xsi:type="dcterms:W3CDTF">2021-12-02T19:13:01Z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