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5.png" ContentType="image/png"/>
  <Override PartName="/word/media/rId56.png" ContentType="image/png"/>
  <Override PartName="/word/media/rId54.png" ContentType="image/png"/>
  <Override PartName="/word/media/rId59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To assume that treatment and comaparator cohorts stand in</w:t>
      </w:r>
      <w:r>
        <w:t xml:space="preserve"> </w:t>
      </w:r>
      <w:r>
        <w:t xml:space="preserve">equipoise we required that the majority of the patients in both have</w:t>
      </w:r>
      <w:r>
        <w:t xml:space="preserve"> </w:t>
      </w:r>
      <w:r>
        <w:t xml:space="preserve">preference scores between 0.3 and 0.7. We assumed that covariate</w:t>
      </w:r>
      <w:r>
        <w:t xml:space="preserve"> </w:t>
      </w:r>
      <w:r>
        <w:t xml:space="preserve">balance had been reached, if all after-adjustment baseline</w:t>
      </w:r>
      <w:r>
        <w:t xml:space="preserve"> </w:t>
      </w:r>
      <w:r>
        <w:t xml:space="preserve">characteristics had standardized absolute mean differences of less</w:t>
      </w:r>
      <w:r>
        <w:t xml:space="preserve"> </w:t>
      </w:r>
      <w:r>
        <w:t xml:space="preserve">than 0.1. We estimated treatment effects using Cox proportional</w:t>
      </w:r>
      <w:r>
        <w:t xml:space="preserve"> </w:t>
      </w:r>
      <w:r>
        <w:t xml:space="preserve">hazards models with treatment as the sole covariate. To account for</w:t>
      </w:r>
      <w:r>
        <w:t xml:space="preserve"> </w:t>
      </w:r>
      <w:r>
        <w:t xml:space="preserve">observed confounding we used variable ratio matching (1:10) on the</w:t>
      </w:r>
      <w:r>
        <w:t xml:space="preserve"> </w:t>
      </w:r>
      <w:r>
        <w:t xml:space="preserve">propensity score using a caliper of 0.2 on the logit scale. Hazard</w:t>
      </w:r>
      <w:r>
        <w:t xml:space="preserve"> </w:t>
      </w:r>
      <w:r>
        <w:t xml:space="preserve">ratios (HR) derived in different databases were summarized using</w:t>
      </w:r>
      <w:r>
        <w:t xml:space="preserve"> </w:t>
      </w:r>
      <w:r>
        <w:t xml:space="preserve">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(1:10)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365 after treatment initiation.</w:t>
      </w:r>
    </w:p>
    <w:p>
      <w:pPr>
        <w:pStyle w:val="BodyText"/>
      </w:pPr>
      <w:r>
        <w:t xml:space="preserve">For each outcome we used the derived prediction models to stratify the</w:t>
      </w:r>
      <w:r>
        <w:t xml:space="preserve"> </w:t>
      </w:r>
      <w:r>
        <w:t xml:space="preserve">study population using two separate stratifcation schemes. In the</w:t>
      </w:r>
      <w:r>
        <w:t xml:space="preserve"> </w:t>
      </w:r>
      <w:r>
        <w:t xml:space="preserve">first approach, we divide the population into the lowest 75% and the</w:t>
      </w:r>
      <w:r>
        <w:t xml:space="preserve"> </w:t>
      </w:r>
      <w:r>
        <w:t xml:space="preserve">top 25% hip fracture risk subgroups. In the second approach, the</w:t>
      </w:r>
      <w:r>
        <w:t xml:space="preserve"> </w:t>
      </w:r>
      <w:r>
        <w:t xml:space="preserve">population is divided using existing guidelines on teriparatide</w:t>
      </w:r>
      <w:r>
        <w:t xml:space="preserve"> </w:t>
      </w:r>
      <w:r>
        <w:t xml:space="preserve">treatment based on major fracture risk (REF!!). Within each of these</w:t>
      </w:r>
      <w:r>
        <w:t xml:space="preserve"> </w:t>
      </w:r>
      <w:r>
        <w:t xml:space="preserve">risk-based subgroups we developed a new propensity score model. Our</w:t>
      </w:r>
      <w:r>
        <w:t xml:space="preserve"> </w:t>
      </w:r>
      <w:r>
        <w:t xml:space="preserve">analyses were performed on the propensity score matched (1:10) subset</w:t>
      </w:r>
      <w:r>
        <w:t xml:space="preserve"> </w:t>
      </w:r>
      <w:r>
        <w:t xml:space="preserve">of the risk subgroup subset. We derived relative effect estimates</w:t>
      </w:r>
      <w:r>
        <w:t xml:space="preserve"> </w:t>
      </w:r>
      <w:r>
        <w:t xml:space="preserve">using Cox proportional hazards models only with treatment as a</w:t>
      </w:r>
      <w:r>
        <w:t xml:space="preserve"> </w:t>
      </w:r>
      <w:r>
        <w:t xml:space="preserve">predictor. Absolute effect estimates were calculated based on the</w:t>
      </w:r>
      <w:r>
        <w:t xml:space="preserve"> </w:t>
      </w:r>
      <w:r>
        <w:t xml:space="preserve">difference of the Kaplan-Meier estimates, on day 365 after treatment</w:t>
      </w:r>
      <w:r>
        <w:t xml:space="preserve"> </w:t>
      </w:r>
      <w:r>
        <w:t xml:space="preserve">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pPr>
        <w:pStyle w:val="FirstParagraph"/>
      </w:pPr>
      <w:r>
        <w:rPr>
          <w:i/>
          <w:b/>
        </w:rPr>
        <w:t xml:space="preserve">[ Introductory stuff for Table 1 !! ]</w:t>
      </w:r>
    </w:p>
    <w:p>
      <w:pPr>
        <w:pStyle w:val="BodyText"/>
      </w:pPr>
      <w:r>
        <w:t xml:space="preserve">In all databases adequate equipoise of the preference score</w:t>
      </w:r>
      <w:r>
        <w:t xml:space="preserve"> </w:t>
      </w:r>
      <w:r>
        <w:t xml:space="preserve">distributions was achieved (Figure</w:t>
      </w:r>
      <w:r>
        <w:t xml:space="preserve"> </w:t>
      </w:r>
      <w:r>
        <w:t xml:space="preserve">). After</w:t>
      </w:r>
      <w:r>
        <w:t xml:space="preserve"> </w:t>
      </w:r>
      <w:r>
        <w:t xml:space="preserve">matching all baseline covariates (&gt;35,000 in each database) were well</w:t>
      </w:r>
      <w:r>
        <w:t xml:space="preserve"> </w:t>
      </w:r>
      <w:r>
        <w:t xml:space="preserve">balanced (Figure</w:t>
      </w:r>
      <w:r>
        <w:t xml:space="preserve"> </w:t>
      </w:r>
      <w:r>
        <w:t xml:space="preserve">). This indicates</w:t>
      </w:r>
      <w:r>
        <w:t xml:space="preserve"> </w:t>
      </w:r>
      <w:r>
        <w:t xml:space="preserve">that we were able account for the majority of the observed</w:t>
      </w:r>
      <w:r>
        <w:t xml:space="preserve"> </w:t>
      </w:r>
      <w:r>
        <w:t xml:space="preserve">condfounding present in all databases. However, negative control</w:t>
      </w:r>
      <w:r>
        <w:t xml:space="preserve"> </w:t>
      </w:r>
      <w:r>
        <w:t xml:space="preserve">analyses time falsely favored oral bisphosphonates over teriparatide,</w:t>
      </w:r>
      <w:r>
        <w:t xml:space="preserve"> </w:t>
      </w:r>
      <w:r>
        <w:t xml:space="preserve">which suggests the presence of residual unobserved confoundng (Figure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In terms of hip fracture risk we estimated calibrated hazard ratios of</w:t>
      </w:r>
      <w:r>
        <w:t xml:space="preserve"> </w:t>
      </w:r>
      <w:r>
        <w:t xml:space="preserve">1.1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1.7;</w:t>
      </w:r>
      <w:r>
        <w:t xml:space="preserve"> </w:t>
      </w:r>
      <w:r>
        <w:t xml:space="preserve">95% CI),</w:t>
      </w:r>
      <w:r>
        <w:t xml:space="preserve"> </w:t>
      </w:r>
      <w:r>
        <w:t xml:space="preserve">0.85</w:t>
      </w:r>
      <w:r>
        <w:t xml:space="preserve"> </w:t>
      </w:r>
      <w:r>
        <w:t xml:space="preserve">(0.65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0.93</w:t>
      </w:r>
      <w:r>
        <w:t xml:space="preserve"> </w:t>
      </w:r>
      <w:r>
        <w:t xml:space="preserve">(0.64</w:t>
      </w:r>
      <w:r>
        <w:t xml:space="preserve"> </w:t>
      </w:r>
      <w:r>
        <w:t xml:space="preserve">to</w:t>
      </w:r>
      <w:r>
        <w:t xml:space="preserve"> </w:t>
      </w:r>
      <w:r>
        <w:t xml:space="preserve">1.3;</w:t>
      </w:r>
      <w:r>
        <w:t xml:space="preserve"> </w:t>
      </w:r>
      <w:r>
        <w:t xml:space="preserve">95% CI), in CCAE, Optum-DOD and Optum-EHR respectively. The</w:t>
      </w:r>
      <w:r>
        <w:t xml:space="preserve"> </w:t>
      </w:r>
      <w:r>
        <w:t xml:space="preserve">calibrated meta-analytic hazard ratio of the overall effect of</w:t>
      </w:r>
      <w:r>
        <w:t xml:space="preserve"> </w:t>
      </w:r>
      <w:r>
        <w:t xml:space="preserve">teriparatide compared to oral bisphosphonates was</w:t>
      </w:r>
      <w:r>
        <w:t xml:space="preserve"> </w:t>
      </w:r>
      <w:r>
        <w:t xml:space="preserve">0.92</w:t>
      </w:r>
      <w:r>
        <w:t xml:space="preserve"> </w:t>
      </w:r>
      <w:r>
        <w:t xml:space="preserve">(0.76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CI). Results for major osteoporotic and vertebral fractures are</w:t>
      </w:r>
      <w:r>
        <w:t xml:space="preserve"> </w:t>
      </w:r>
      <w:r>
        <w:t xml:space="preserve">provided in the supplement.</w:t>
      </w:r>
    </w:p>
    <w:p>
      <w:pPr>
        <w:pStyle w:val="BodyText"/>
      </w:pPr>
      <w:r>
        <w:t xml:space="preserve">When using the internally developed hip fracture risk prediction</w:t>
      </w:r>
      <w:r>
        <w:t xml:space="preserve"> </w:t>
      </w:r>
      <w:r>
        <w:t xml:space="preserve">models to divide the population into lower 75% and top 25% risk</w:t>
      </w:r>
      <w:r>
        <w:t xml:space="preserve"> </w:t>
      </w:r>
      <w:r>
        <w:t xml:space="preserve">subgroups, we estimated calibrated hazard ratios of</w:t>
      </w:r>
      <w:r>
        <w:t xml:space="preserve"> </w:t>
      </w:r>
      <w:r>
        <w:t xml:space="preserve">0.63</w:t>
      </w:r>
      <w:r>
        <w:t xml:space="preserve"> </w:t>
      </w:r>
      <w:r>
        <w:t xml:space="preserve">(0.28</w:t>
      </w:r>
      <w:r>
        <w:t xml:space="preserve"> </w:t>
      </w:r>
      <w:r>
        <w:t xml:space="preserve">to</w:t>
      </w:r>
      <w:r>
        <w:t xml:space="preserve"> </w:t>
      </w:r>
      <w:r>
        <w:t xml:space="preserve">1.4;</w:t>
      </w:r>
      <w:r>
        <w:t xml:space="preserve"> </w:t>
      </w:r>
      <w:r>
        <w:t xml:space="preserve">95% CI),</w:t>
      </w:r>
      <w:r>
        <w:t xml:space="preserve"> </w:t>
      </w:r>
      <w:r>
        <w:t xml:space="preserve">0.6</w:t>
      </w:r>
      <w:r>
        <w:t xml:space="preserve"> </w:t>
      </w:r>
      <w:r>
        <w:t xml:space="preserve">(0.38</w:t>
      </w:r>
      <w:r>
        <w:t xml:space="preserve"> </w:t>
      </w:r>
      <w:r>
        <w:t xml:space="preserve">to</w:t>
      </w:r>
      <w:r>
        <w:t xml:space="preserve"> </w:t>
      </w:r>
      <w:r>
        <w:t xml:space="preserve">0.95;</w:t>
      </w:r>
      <w:r>
        <w:t xml:space="preserve"> </w:t>
      </w:r>
      <w:r>
        <w:t xml:space="preserve">95% CI) and</w:t>
      </w:r>
      <w:r>
        <w:t xml:space="preserve"> </w:t>
      </w:r>
      <w:r>
        <w:t xml:space="preserve">1</w:t>
      </w:r>
      <w:r>
        <w:t xml:space="preserve"> </w:t>
      </w:r>
      <w:r>
        <w:t xml:space="preserve">(0.63</w:t>
      </w:r>
      <w:r>
        <w:t xml:space="preserve"> </w:t>
      </w:r>
      <w:r>
        <w:t xml:space="preserve">to</w:t>
      </w:r>
      <w:r>
        <w:t xml:space="preserve"> </w:t>
      </w:r>
      <w:r>
        <w:t xml:space="preserve">1.7;</w:t>
      </w:r>
      <w:r>
        <w:t xml:space="preserve"> </w:t>
      </w:r>
      <w:r>
        <w:t xml:space="preserve">95% CI) in the lower 75% hip fracture risk subgroup in CCAE,</w:t>
      </w:r>
      <w:r>
        <w:t xml:space="preserve"> </w:t>
      </w:r>
      <w:r>
        <w:t xml:space="preserve">Optum-DOD and Optum-EHR, respectively. These translated to absolute risk reductions of</w:t>
      </w:r>
      <w:r>
        <w:t xml:space="preserve"> </w:t>
      </w:r>
      <w:r>
        <w:t xml:space="preserve">0.0073</w:t>
      </w:r>
      <w:r>
        <w:t xml:space="preserve"> </w:t>
      </w:r>
      <w:r>
        <w:t xml:space="preserve">(-0.12</w:t>
      </w:r>
      <w:r>
        <w:t xml:space="preserve"> </w:t>
      </w:r>
      <w:r>
        <w:t xml:space="preserve">to</w:t>
      </w:r>
      <w:r>
        <w:t xml:space="preserve"> </w:t>
      </w:r>
      <w:r>
        <w:t xml:space="preserve">0.13;</w:t>
      </w:r>
      <w:r>
        <w:t xml:space="preserve"> </w:t>
      </w:r>
      <w:r>
        <w:t xml:space="preserve">95% CI),</w:t>
      </w:r>
      <w:r>
        <w:t xml:space="preserve"> </w:t>
      </w:r>
      <w:r>
        <w:t xml:space="preserve">0.14</w:t>
      </w:r>
      <w:r>
        <w:t xml:space="preserve"> </w:t>
      </w:r>
      <w:r>
        <w:t xml:space="preserve">(-0.084</w:t>
      </w:r>
      <w:r>
        <w:t xml:space="preserve"> </w:t>
      </w:r>
      <w:r>
        <w:t xml:space="preserve">to</w:t>
      </w:r>
      <w:r>
        <w:t xml:space="preserve"> </w:t>
      </w:r>
      <w:r>
        <w:t xml:space="preserve">0.36;</w:t>
      </w:r>
      <w:r>
        <w:t xml:space="preserve"> </w:t>
      </w:r>
      <w:r>
        <w:t xml:space="preserve">95% CI) and</w:t>
      </w:r>
      <w:r>
        <w:t xml:space="preserve"> </w:t>
      </w:r>
      <w:r>
        <w:t xml:space="preserve">-0.053</w:t>
      </w:r>
      <w:r>
        <w:t xml:space="preserve"> </w:t>
      </w:r>
      <w:r>
        <w:t xml:space="preserve">(-0.23</w:t>
      </w:r>
      <w:r>
        <w:t xml:space="preserve"> </w:t>
      </w:r>
      <w:r>
        <w:t xml:space="preserve">to</w:t>
      </w:r>
      <w:r>
        <w:t xml:space="preserve"> </w:t>
      </w:r>
      <w:r>
        <w:t xml:space="preserve">0.13;</w:t>
      </w:r>
      <w:r>
        <w:t xml:space="preserve"> </w:t>
      </w:r>
      <w:r>
        <w:t xml:space="preserve">95% CI) in CCAE, Optum-DOD and Optum-EHR respectively. Regarding hip</w:t>
      </w:r>
      <w:r>
        <w:t xml:space="preserve"> </w:t>
      </w:r>
      <w:r>
        <w:t xml:space="preserve">fracture risk, the overall meta-analytic hazard ratio of the effect of</w:t>
      </w:r>
      <w:r>
        <w:t xml:space="preserve"> </w:t>
      </w:r>
      <w:r>
        <w:t xml:space="preserve">teriparatide compared to oral bisphosphonates in the lower 75% hip</w:t>
      </w:r>
      <w:r>
        <w:t xml:space="preserve"> </w:t>
      </w:r>
      <w:r>
        <w:t xml:space="preserve">fracture risk subgroup was</w:t>
      </w:r>
      <w:r>
        <w:t xml:space="preserve"> </w:t>
      </w:r>
      <w:r>
        <w:t xml:space="preserve">0.75</w:t>
      </w:r>
      <w:r>
        <w:t xml:space="preserve"> </w:t>
      </w:r>
      <w:r>
        <w:t xml:space="preserve">(0.52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 across all 3 databases in the lower risk subgroup.</w:t>
      </w:r>
    </w:p>
    <w:p>
      <w:pPr>
        <w:pStyle w:val="BodyText"/>
      </w:pPr>
      <w:r>
        <w:t xml:space="preserve">In the upper 25% hip fracture risk subgroup we estimated hazard ratios of</w:t>
      </w:r>
      <w:r>
        <w:t xml:space="preserve"> </w:t>
      </w:r>
      <w:r>
        <w:t xml:space="preserve">1.3</w:t>
      </w:r>
      <w:r>
        <w:t xml:space="preserve"> </w:t>
      </w:r>
      <w:r>
        <w:t xml:space="preserve">(0.86</w:t>
      </w:r>
      <w:r>
        <w:t xml:space="preserve"> </w:t>
      </w:r>
      <w:r>
        <w:t xml:space="preserve">to</w:t>
      </w:r>
      <w:r>
        <w:t xml:space="preserve"> </w:t>
      </w:r>
      <w:r>
        <w:t xml:space="preserve">2.1;</w:t>
      </w:r>
      <w:r>
        <w:t xml:space="preserve"> </w:t>
      </w:r>
      <w:r>
        <w:t xml:space="preserve">95% CI),</w:t>
      </w:r>
      <w:r>
        <w:t xml:space="preserve"> </w:t>
      </w:r>
      <w:r>
        <w:t xml:space="preserve">0.95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1.2;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0.8</w:t>
      </w:r>
      <w:r>
        <w:t xml:space="preserve"> </w:t>
      </w:r>
      <w:r>
        <w:t xml:space="preserve">(0.52</w:t>
      </w:r>
      <w:r>
        <w:t xml:space="preserve"> </w:t>
      </w:r>
      <w:r>
        <w:t xml:space="preserve">to</w:t>
      </w:r>
      <w:r>
        <w:t xml:space="preserve"> </w:t>
      </w:r>
      <w:r>
        <w:t xml:space="preserve">1.2;</w:t>
      </w:r>
      <w:r>
        <w:t xml:space="preserve"> </w:t>
      </w:r>
      <w:r>
        <w:t xml:space="preserve">95% CI) in the lower 75% hip fracture risk subgroup in CCAE,</w:t>
      </w:r>
      <w:r>
        <w:t xml:space="preserve"> </w:t>
      </w:r>
      <w:r>
        <w:t xml:space="preserve">Optum-DOD and Optum-EHR, respectively. These translated to absolute risk reductions of</w:t>
      </w:r>
      <w:r>
        <w:t xml:space="preserve"> </w:t>
      </w:r>
      <w:r>
        <w:t xml:space="preserve">-0.51</w:t>
      </w:r>
      <w:r>
        <w:t xml:space="preserve"> </w:t>
      </w:r>
      <w:r>
        <w:t xml:space="preserve">(-0.97</w:t>
      </w:r>
      <w:r>
        <w:t xml:space="preserve"> </w:t>
      </w:r>
      <w:r>
        <w:t xml:space="preserve">to</w:t>
      </w:r>
      <w:r>
        <w:t xml:space="preserve"> </w:t>
      </w:r>
      <w:r>
        <w:t xml:space="preserve">-0.044;</w:t>
      </w:r>
      <w:r>
        <w:t xml:space="preserve"> </w:t>
      </w:r>
      <w:r>
        <w:t xml:space="preserve">95% CI),</w:t>
      </w:r>
      <w:r>
        <w:t xml:space="preserve"> </w:t>
      </w:r>
      <w:r>
        <w:t xml:space="preserve">-0.028</w:t>
      </w:r>
      <w:r>
        <w:t xml:space="preserve"> </w:t>
      </w:r>
      <w:r>
        <w:t xml:space="preserve">(-0.65</w:t>
      </w:r>
      <w:r>
        <w:t xml:space="preserve"> </w:t>
      </w:r>
      <w:r>
        <w:t xml:space="preserve">to</w:t>
      </w:r>
      <w:r>
        <w:t xml:space="preserve"> </w:t>
      </w:r>
      <w:r>
        <w:t xml:space="preserve">0.6;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0.22</w:t>
      </w:r>
      <w:r>
        <w:t xml:space="preserve"> </w:t>
      </w:r>
      <w:r>
        <w:t xml:space="preserve">(-0.3</w:t>
      </w:r>
      <w:r>
        <w:t xml:space="preserve"> </w:t>
      </w:r>
      <w:r>
        <w:t xml:space="preserve">to</w:t>
      </w:r>
      <w:r>
        <w:t xml:space="preserve"> </w:t>
      </w:r>
      <w:r>
        <w:t xml:space="preserve">0.74;</w:t>
      </w:r>
      <w:r>
        <w:t xml:space="preserve"> </w:t>
      </w:r>
      <w:r>
        <w:t xml:space="preserve">95% CI) in CCAE, Optum-DOD and Optum-EHR respectively. Regarding hip</w:t>
      </w:r>
      <w:r>
        <w:t xml:space="preserve"> </w:t>
      </w:r>
      <w:r>
        <w:t xml:space="preserve">fracture risk, the overall meta-analytic hazard ratio of the effect of</w:t>
      </w:r>
      <w:r>
        <w:t xml:space="preserve"> </w:t>
      </w:r>
      <w:r>
        <w:t xml:space="preserve">teriparatide compared to oral bisphosphonates in the lower 75% hip</w:t>
      </w:r>
      <w:r>
        <w:t xml:space="preserve"> </w:t>
      </w:r>
      <w:r>
        <w:t xml:space="preserve">fracture risk subgroup was</w:t>
      </w:r>
      <w:r>
        <w:t xml:space="preserve"> </w:t>
      </w:r>
      <w:r>
        <w:t xml:space="preserve">0.98</w:t>
      </w:r>
      <w:r>
        <w:t xml:space="preserve"> </w:t>
      </w:r>
      <w:r>
        <w:t xml:space="preserve">(0.75</w:t>
      </w:r>
      <w:r>
        <w:t xml:space="preserve"> </w:t>
      </w:r>
      <w:r>
        <w:t xml:space="preserve">to</w:t>
      </w:r>
      <w:r>
        <w:t xml:space="preserve"> </w:t>
      </w:r>
      <w:r>
        <w:t xml:space="preserve">1.3;</w:t>
      </w:r>
      <w:r>
        <w:t xml:space="preserve"> </w:t>
      </w:r>
      <w:r>
        <w:t xml:space="preserve">95% CI) across all 3 databases in the upper risk subgroup.</w:t>
      </w:r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Ps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2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Covariat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3: Overall negative control 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N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6.3: Overall negative control plot.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4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6.4: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5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6.5: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6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Absolute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6.6: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2021-12-22T13:35:01Z</dcterms:created>
  <dcterms:modified xsi:type="dcterms:W3CDTF">2021-12-22T13:35:01Z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