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200"/>
        <w:jc w:val="center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БИЗНЕС-ДОМЕН. СИСТЕМА РАСПРЕДЕЛЕНИЯ ЗАКАЗОВ СЕРВИСА ДОСТАВКИ ЕДЫ</w:t>
      </w:r>
    </w:p>
    <w:p>
      <w:pPr>
        <w:spacing w:after="200"/>
        <w:jc w:val="center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9 вариант Карякин Платон Евгеньевич гр. 5130904/40102</w:t>
      </w:r>
    </w:p>
    <w:p>
      <w:pPr>
        <w:spacing w:after="20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примера работы системы массового обслуживания рассматривается система распределения заказов сервиса доставки еды с приоритетным назначением курьеров. Несколько каналов оформления заказа независимо формируют заявки на доставку: Премиум-подписка, Мобильное приложение и Веб-сайт создают заказы клиентов, желающих получить доставку.</w:t>
      </w:r>
    </w:p>
    <w:p>
      <w:pPr>
        <w:spacing w:after="20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Заказы поступают в общую систему распределения, где при необходимости ожидают в ограниченном буфере диспетчерской, а затем передаются свободным курьерам. Буфер представляет собой ограниченную очередь заказов на доставку, а курьеры – отдельных исполнителей, каждый из которых в один момент времени может доставлять только один заказ.</w:t>
      </w:r>
    </w:p>
    <w:p>
      <w:pPr>
        <w:spacing w:after="20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Из-за ограниченной ёмкости очереди и занятости курьеров система должна определять порядок размещения заказов, правило отказа при переполнении, порядок выбора следующего заказа и порядок назначения свободного курьера. Эта логика реализуется двумя диспетчерами: диспетчером постановки, который отвечает за помещение новых заказов в буфер и обработку переполнения, и диспетчером выбора, который извлекает заказы из буфера и назначает их свободным курьерам.</w:t>
      </w:r>
    </w:p>
    <w:tbl>
      <w:tblPr>
        <w:tblW w:w="94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c>
          <w:tcPr>
            <w:tcW w:w="1050" w:type="dxa"/>
          </w:tcPr>
          <w:p>
            <w:pPr>
              <w:jc w:val="both"/>
              <w:rPr>
                <w:sz w:val="28"/>
              </w:rPr>
            </w:pPr>
            <w:r>
              <w:rPr>
                <w:b/>
                <w:bCs/>
                <w:sz w:val="28"/>
                <w:szCs w:val="20"/>
              </w:rPr>
              <w:t>ИБ</w:t>
            </w:r>
          </w:p>
        </w:tc>
        <w:tc>
          <w:tcPr>
            <w:tcW w:w="1050" w:type="dxa"/>
          </w:tcPr>
          <w:p>
            <w:pPr>
              <w:jc w:val="both"/>
              <w:rPr>
                <w:sz w:val="28"/>
              </w:rPr>
            </w:pPr>
            <w:r>
              <w:rPr>
                <w:b/>
                <w:bCs/>
                <w:sz w:val="28"/>
                <w:szCs w:val="20"/>
              </w:rPr>
              <w:t>ИЗ1</w:t>
            </w:r>
          </w:p>
        </w:tc>
        <w:tc>
          <w:tcPr>
            <w:tcW w:w="1050" w:type="dxa"/>
          </w:tcPr>
          <w:p>
            <w:pPr>
              <w:jc w:val="both"/>
              <w:rPr>
                <w:sz w:val="28"/>
              </w:rPr>
            </w:pPr>
            <w:r>
              <w:rPr>
                <w:b/>
                <w:bCs/>
                <w:sz w:val="28"/>
                <w:szCs w:val="20"/>
              </w:rPr>
              <w:t>ПЗ2</w:t>
            </w:r>
          </w:p>
        </w:tc>
        <w:tc>
          <w:tcPr>
            <w:tcW w:w="1050" w:type="dxa"/>
          </w:tcPr>
          <w:p>
            <w:pPr>
              <w:jc w:val="both"/>
              <w:rPr>
                <w:sz w:val="28"/>
              </w:rPr>
            </w:pPr>
            <w:r>
              <w:rPr>
                <w:b/>
                <w:bCs/>
                <w:sz w:val="28"/>
                <w:szCs w:val="20"/>
              </w:rPr>
              <w:t>Д1ОЗ2</w:t>
            </w:r>
          </w:p>
        </w:tc>
        <w:tc>
          <w:tcPr>
            <w:tcW w:w="1050" w:type="dxa"/>
          </w:tcPr>
          <w:p>
            <w:pPr>
              <w:jc w:val="both"/>
              <w:rPr>
                <w:sz w:val="28"/>
              </w:rPr>
            </w:pPr>
            <w:r>
              <w:rPr>
                <w:b/>
                <w:bCs/>
                <w:sz w:val="28"/>
                <w:szCs w:val="20"/>
              </w:rPr>
              <w:t>Д1ОО5</w:t>
            </w:r>
          </w:p>
        </w:tc>
        <w:tc>
          <w:tcPr>
            <w:tcW w:w="1050" w:type="dxa"/>
          </w:tcPr>
          <w:p>
            <w:pPr>
              <w:jc w:val="both"/>
              <w:rPr>
                <w:sz w:val="28"/>
              </w:rPr>
            </w:pPr>
            <w:r>
              <w:rPr>
                <w:b/>
                <w:bCs/>
                <w:sz w:val="28"/>
                <w:szCs w:val="20"/>
              </w:rPr>
              <w:t>Д2П1</w:t>
            </w:r>
          </w:p>
        </w:tc>
        <w:tc>
          <w:tcPr>
            <w:tcW w:w="1050" w:type="dxa"/>
          </w:tcPr>
          <w:p>
            <w:pPr>
              <w:jc w:val="both"/>
              <w:rPr>
                <w:sz w:val="28"/>
              </w:rPr>
            </w:pPr>
            <w:r>
              <w:rPr>
                <w:b/>
                <w:bCs/>
                <w:sz w:val="28"/>
                <w:szCs w:val="20"/>
              </w:rPr>
              <w:t>Д2Б5</w:t>
            </w:r>
          </w:p>
        </w:tc>
        <w:tc>
          <w:tcPr>
            <w:tcW w:w="1050" w:type="dxa"/>
          </w:tcPr>
          <w:p>
            <w:pPr>
              <w:jc w:val="both"/>
              <w:rPr>
                <w:sz w:val="28"/>
              </w:rPr>
            </w:pPr>
            <w:r>
              <w:rPr>
                <w:b/>
                <w:bCs/>
                <w:sz w:val="28"/>
                <w:szCs w:val="20"/>
              </w:rPr>
              <w:t>ОР1</w:t>
            </w:r>
          </w:p>
        </w:tc>
        <w:tc>
          <w:tcPr>
            <w:tcW w:w="1050" w:type="dxa"/>
          </w:tcPr>
          <w:p>
            <w:pPr>
              <w:jc w:val="both"/>
              <w:rPr>
                <w:sz w:val="28"/>
              </w:rPr>
            </w:pPr>
            <w:r>
              <w:rPr>
                <w:b/>
                <w:bCs/>
                <w:sz w:val="28"/>
                <w:szCs w:val="20"/>
              </w:rPr>
              <w:t>ОД3</w:t>
            </w:r>
          </w:p>
        </w:tc>
      </w:tr>
    </w:tbl>
    <w:p>
      <w:pPr>
        <w:spacing w:after="200"/>
        <w:jc w:val="both"/>
      </w:pPr>
    </w:p>
    <w:p>
      <w:pPr>
        <w:spacing w:after="200"/>
        <w:ind w:firstLine="708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1. ЭЛЕМЕНТЫ БИЗНЕС-ДОМЕНА</w:t>
      </w:r>
    </w:p>
    <w:p>
      <w:pPr>
        <w:spacing w:after="200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1.1. Источник (ИБ, ИЗ1): </w:t>
      </w:r>
      <w:r>
        <w:rPr>
          <w:sz w:val="28"/>
          <w:szCs w:val="28"/>
        </w:rPr>
        <w:t xml:space="preserve">Источниками являются каналы, через которые клиенты оформляют заказы: Премиум-подписка (источник №1, клиенты с приоритетным обслуживанием), Мобильное приложение (источник №2) и Веб-сайт (источник №3). Номер источника определяет его приоритет: чем меньше номер, тем выше приоритет. Каждый канал может формировать новые заказы в течение всего времени работы системы, поэтому поток заявок считается бесконечным. Заказы разных клиентов независимы друг от друга, поэтому поток заявок от одного канала является пуассоновским, а интервалы между поступлениями заказов распределены по экспоненциальному закону – большинство заказов приходит с короткими интервалами, но встречаются и продолжительные паузы.</w:t>
      </w:r>
    </w:p>
    <w:p>
      <w:pPr>
        <w:spacing w:after="200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1.2. Буфер (Д1ОЗ2): </w:t>
      </w:r>
      <w:r>
        <w:rPr>
          <w:sz w:val="28"/>
          <w:szCs w:val="28"/>
        </w:rPr>
        <w:t xml:space="preserve">Если заказ не может быть немедленно передан курьеру, он помещается в общую ограниченную очередь диспетчерской. Заказы занимают места в порядке поступления, начиная с первого: новый заказ всегда ставится в конец очереди – на место, следующее за последним занятым. При освобождении места N (заказ передан курьеру) все заказы, стоящие на местах, начиная с N+1, сдвигаются на одно место к началу очереди, поэтому занятые позиции всегда идут подряд, без пропусков.</w:t>
      </w:r>
    </w:p>
    <w:p>
      <w:pPr>
        <w:spacing w:after="20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Буфером является ограниченная очередь заказов сервиса доставки еды. Очередь хранится в системе диспетчеризации (например, в оперативной памяти сервера распределения заказов или в очереди сообщений), поэтому заказ не пропадает мгновенно, а ожидает назначения курьера. Для моделирования очередь представляется набором из K позиций.</w:t>
      </w:r>
    </w:p>
    <w:p>
      <w:pPr>
        <w:spacing w:after="200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1.3. Прибор (ПЗ2): </w:t>
      </w:r>
      <w:r>
        <w:rPr>
          <w:sz w:val="28"/>
          <w:szCs w:val="28"/>
        </w:rPr>
        <w:t xml:space="preserve">Приборами являются курьеры, доставляющие заказы. Каждый курьер в один момент времени доставляет одного клиента. Курьеры пронумерованы, номер курьера определяет его приоритет при назначении. Длительность доставки (время занятости курьера) является случайной величиной и моделируется равномерным законом распределения на отрезке [Tmin, Tmax] – время доставки колеблется в известных пределах, и любое значение внутри этих пределов равновозможно.</w:t>
      </w:r>
    </w:p>
    <w:p>
      <w:pPr>
        <w:spacing w:after="200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1.4. Дисциплина отказа (Д1ОО5): </w:t>
      </w:r>
      <w:r>
        <w:rPr>
          <w:sz w:val="28"/>
          <w:szCs w:val="28"/>
        </w:rPr>
        <w:t xml:space="preserve">Если в момент поступления нового заказа заняты все курьеры и все позиции буфера, отказ применяется к вновь пришедшему заказу. Он уходит из системы без обслуживания, при этом состояние буфера не меняется: заказы, уже стоящие в очереди, остаются на своих местах.</w:t>
      </w:r>
    </w:p>
    <w:p>
      <w:pPr>
        <w:spacing w:after="20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моём бизнес-домене это означает, что при полностью заполненной очереди диспетчерской клиенту, оформившему новый заказ, приходит отказ «нет свободных курьеров», а заказы, уже принятые в очередь, не теряются – система не жертвует ожидающими клиентами ради нового. Система фиксирует такой заказ как получивший отказ, обязательно учитывает его в общем числе сформированных заявок и в статистике отказов соответствующего канала.</w:t>
      </w:r>
    </w:p>
    <w:p>
      <w:pPr>
        <w:spacing w:after="200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1.5. Дисциплины постановки на обслуживание (Д2П1, Д2Б5): </w:t>
      </w:r>
      <w:r>
        <w:rPr>
          <w:sz w:val="28"/>
          <w:szCs w:val="28"/>
        </w:rPr>
        <w:t xml:space="preserve"/>
      </w:r>
    </w:p>
    <w:p>
      <w:pPr>
        <w:spacing w:after="20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Д2Б5 (выбор заказа из буфера по приоритету источника, заявки в пакете) – пакетом называется совокупность заказов одного канала, находящихся в буфере на момент освобождения курьера. Когда курьер освобождается, диспетчер выбора определяет самый приоритетный пакет (с наименьшим номером источника) и берёт из него заказ. Обслуживаются заказы только этого пакета до тех пор, пока к моменту очередного освобождения курьера в буфере не останется ни одного заказа этого пакета; после этого снова определяется самый приоритетный из имеющихся пакетов. Внутри пакета заказы выбираются в порядке поступления, то есть с наименьшего номера места в буфере.</w:t>
      </w:r>
    </w:p>
    <w:p>
      <w:pPr>
        <w:spacing w:after="20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Д2П1 (выбор прибора по приоритету номера) – поиск свободного курьера каждый раз начинается с курьера №1 и выполняется последовательным перебором по возрастанию номера; заказ передаётся первому найденному свободному курьеру. Таким образом, при малой загрузке основную работу выполняют курьеры с наименьшими номерами.</w:t>
      </w:r>
    </w:p>
    <w:p>
      <w:pPr>
        <w:spacing w:after="200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1.6. Заявка: </w:t>
      </w:r>
      <w:r>
        <w:rPr>
          <w:sz w:val="28"/>
          <w:szCs w:val="28"/>
        </w:rPr>
        <w:t xml:space="preserve">Заказ на доставку, сформированный одним из каналов и требующий назначения курьера. Заявка хранит номер канала-источника (определяет её приоритет), порядковый номер, момент поступления в систему и данные, необходимые для расчёта времени ожидания, обслуживания (длительности доставки) и пребывания в системе.</w:t>
      </w:r>
    </w:p>
    <w:p>
      <w:pPr>
        <w:spacing w:after="200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1.7. Диспетчер постановки: </w:t>
      </w:r>
      <w:r>
        <w:rPr>
          <w:sz w:val="28"/>
          <w:szCs w:val="28"/>
        </w:rPr>
        <w:t xml:space="preserve">Алгоритм приёма новых заказов. Он срабатывает, когда один из каналов сформировал новый заказ. Его работа: диспетчер постановки не имеет сведений о занятости курьеров и всегда пытается поставить заказ в буфер: если в буфере есть место – заказ встаёт в конец очереди по Д1ОЗ2, и диспетчер постановки уведомляет диспетчера выбора о появлении заказа; если буфер заполнен – по Д1ОО5 отказ получает именно новый заказ, а буфер остаётся без изменений. Если курьер свободен, диспетчер выбора извлекает заказ из буфера и назначает его в тот же момент модельного времени, без ожидания.</w:t>
      </w:r>
    </w:p>
    <w:p>
      <w:pPr>
        <w:spacing w:after="200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1.8. Диспетчер выбора: </w:t>
      </w:r>
      <w:r>
        <w:rPr>
          <w:sz w:val="28"/>
          <w:szCs w:val="28"/>
        </w:rPr>
        <w:t xml:space="preserve">Алгоритм назначения заказов на обслуживание. Он срабатывает, когда появляется свободный курьер (в том числе сразу после постановки нового заказа, если свободный курьер уже есть). Его работа: выбрать из буфера заказ по Д2Б5 (из самого приоритетного пакета), затем выбрать свободного курьера по Д2П1 (с наименьшим номером) и передать ему заказ. Освободившееся место в буфере закрывается сдвигом остальных заказов по Д1ОЗ2.</w:t>
      </w:r>
    </w:p>
    <w:p>
      <w:pPr>
        <w:spacing w:after="200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1.9 Отображение результатов</w:t>
      </w:r>
    </w:p>
    <w:p>
      <w:pPr>
        <w:spacing w:after="20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автоматическом режиме (ОР1) результаты моделирования выводятся в виде сводной таблицы, содержащей основные статистические характеристики работы системы: количество сформированных, обслуженных и получивших отказ заказов по каждому каналу, вероятность отказа, среднее время ожидания и обслуживания, а также загрузку курьеров. В пошаговом режиме (ОД3) отображаются временные диаграммы работы модели и её текущее состояние на каждом шаге: моменты поступления заказов по каналам-источникам, отказы, занятость позиций буфера, интервалы занятости каждого курьера, содержимое буфера и накопленный процент отказов.</w:t>
      </w:r>
    </w:p>
    <w:sectPr w:rsidR="000869E3" w:rsidRPr="009144E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BB5B6D"/>
    <w:multiLevelType w:val="hybridMultilevel"/>
    <w:tmpl w:val="73760B7A"/>
    <w:lvl w:ilvl="0" w:tplc="A4EC95A6">
      <w:start w:val="1"/>
      <w:numFmt w:val="bullet"/>
      <w:lvlText w:val="●"/>
      <w:lvlJc w:val="left"/>
      <w:pPr>
        <w:ind w:left="720" w:hanging="360"/>
      </w:pPr>
    </w:lvl>
    <w:lvl w:ilvl="1" w:tplc="8E7EEC48">
      <w:start w:val="1"/>
      <w:numFmt w:val="bullet"/>
      <w:lvlText w:val="○"/>
      <w:lvlJc w:val="left"/>
      <w:pPr>
        <w:ind w:left="1440" w:hanging="360"/>
      </w:pPr>
    </w:lvl>
    <w:lvl w:ilvl="2" w:tplc="4F1AF96A">
      <w:start w:val="1"/>
      <w:numFmt w:val="bullet"/>
      <w:lvlText w:val="■"/>
      <w:lvlJc w:val="left"/>
      <w:pPr>
        <w:ind w:left="2160" w:hanging="360"/>
      </w:pPr>
    </w:lvl>
    <w:lvl w:ilvl="3" w:tplc="2470473A">
      <w:start w:val="1"/>
      <w:numFmt w:val="bullet"/>
      <w:lvlText w:val="●"/>
      <w:lvlJc w:val="left"/>
      <w:pPr>
        <w:ind w:left="2880" w:hanging="360"/>
      </w:pPr>
    </w:lvl>
    <w:lvl w:ilvl="4" w:tplc="FE5CBA00">
      <w:start w:val="1"/>
      <w:numFmt w:val="bullet"/>
      <w:lvlText w:val="○"/>
      <w:lvlJc w:val="left"/>
      <w:pPr>
        <w:ind w:left="3600" w:hanging="360"/>
      </w:pPr>
    </w:lvl>
    <w:lvl w:ilvl="5" w:tplc="2506D2FA">
      <w:start w:val="1"/>
      <w:numFmt w:val="bullet"/>
      <w:lvlText w:val="■"/>
      <w:lvlJc w:val="left"/>
      <w:pPr>
        <w:ind w:left="4320" w:hanging="360"/>
      </w:pPr>
    </w:lvl>
    <w:lvl w:ilvl="6" w:tplc="81843C2A">
      <w:start w:val="1"/>
      <w:numFmt w:val="bullet"/>
      <w:lvlText w:val="●"/>
      <w:lvlJc w:val="left"/>
      <w:pPr>
        <w:ind w:left="5040" w:hanging="360"/>
      </w:pPr>
    </w:lvl>
    <w:lvl w:ilvl="7" w:tplc="88886214">
      <w:start w:val="1"/>
      <w:numFmt w:val="bullet"/>
      <w:lvlText w:val="●"/>
      <w:lvlJc w:val="left"/>
      <w:pPr>
        <w:ind w:left="5760" w:hanging="360"/>
      </w:pPr>
    </w:lvl>
    <w:lvl w:ilvl="8" w:tplc="18C6E3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9E3"/>
    <w:rsid w:val="000869E3"/>
    <w:rsid w:val="009144E3"/>
    <w:rsid w:val="00AD2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2B3E50-69E6-457D-9D98-D5E118FC2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2026-09-22T20:33:00Z</dcterms:created>
  <dcterms:modified xsi:type="dcterms:W3CDTF">2026-09-22T20:40:00Z</dcterms:modified>
</cp:coreProperties>
</file>