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200"/>
        <w:jc w:val="center"/>
      </w:pPr>
      <w:r>
        <w:rPr>
          <w:b/>
          <w:bCs/>
        </w:rPr>
        <w:t xml:space="preserve">МАППИНГ. СИСТЕМА РАСПРЕДЕЛЕНИЯ ЗАКАЗОВ СЕРВИСА ДОСТАВКИ ЕДЫ</w:t>
      </w:r>
    </w:p>
    <w:p>
      <w:pPr>
        <w:spacing w:after="200"/>
        <w:jc w:val="center"/>
      </w:pPr>
      <w:r>
        <w:rPr>
          <w:b/>
          <w:bCs/>
        </w:rPr>
        <w:t xml:space="preserve">Карякин Платон Евгеньевич гр. 5130904/40102</w:t>
      </w:r>
    </w:p>
    <w:p>
      <w:pPr>
        <w:spacing w:after="300"/>
        <w:jc w:val="center"/>
      </w:pPr>
      <w:r>
        <w:rPr>
          <w:b/>
          <w:bCs/>
        </w:rPr>
        <w:t xml:space="preserve">Вариант 9</w:t>
      </w:r>
    </w:p>
    <w:tbl>
      <w:tblPr>
        <w:tblW w:w="94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600"/>
        <w:gridCol w:w="4950"/>
      </w:tblGrid>
      <w:tr>
        <w:tc>
          <w:tcPr>
            <w:tcW w:w="1900" w:type="dxa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Элемент СМО</w:t>
            </w:r>
          </w:p>
        </w:tc>
        <w:tc>
          <w:tcPr>
            <w:tcW w:w="2600" w:type="dxa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Сущность бизнес-домена</w:t>
            </w:r>
          </w:p>
        </w:tc>
        <w:tc>
          <w:tcPr>
            <w:tcW w:w="4950" w:type="dxa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w="1900" w:type="dxa"/>
            <w:vAlign w:val="cente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w="2600" w:type="dxa"/>
            <w:vAlign w:val="center"/>
          </w:tcPr>
          <w:p>
            <w:r>
              <w:t xml:space="preserve">Канал оформления заказа: Премиум-подписка (№1), Мобильное приложение (№2), Веб-сайт (№3)</w:t>
            </w:r>
          </w:p>
        </w:tc>
        <w:tc>
          <w:tcPr>
            <w:tcW w:w="4950" w:type="dxa"/>
            <w:vAlign w:val="center"/>
          </w:tcPr>
          <w:p>
            <w:r>
              <w:t xml:space="preserve">Оформление заказа клиентом через канал создаёт заявку на распределение. Источник – ИБ (бесконечный); поток заявок от одного канала пуассоновский, интервалы между заявками распределены экспоненциально (ИЗ1). Номер источника определяет приоритет заявки (Д2Б5).</w:t>
            </w:r>
          </w:p>
        </w:tc>
      </w:tr>
      <w:tr>
        <w:tc>
          <w:tcPr>
            <w:tcW w:w="1900" w:type="dxa"/>
            <w:vAlign w:val="center"/>
          </w:tcPr>
          <w:p>
            <w:r>
              <w:rPr>
                <w:b/>
                <w:bCs/>
              </w:rPr>
              <w:t xml:space="preserve">Заявка</w:t>
            </w:r>
          </w:p>
        </w:tc>
        <w:tc>
          <w:tcPr>
            <w:tcW w:w="2600" w:type="dxa"/>
            <w:vAlign w:val="center"/>
          </w:tcPr>
          <w:p>
            <w:r>
              <w:t xml:space="preserve">Заказ на доставку</w:t>
            </w:r>
          </w:p>
        </w:tc>
        <w:tc>
          <w:tcPr>
            <w:tcW w:w="4950" w:type="dxa"/>
            <w:vAlign w:val="center"/>
          </w:tcPr>
          <w:p>
            <w:r>
              <w:t xml:space="preserve">Один запрос на доставку еды. Содержит состав заказа, адрес доставки, номер канала-источника (приоритет), порядковый номер заявки и время поступления в систему.</w:t>
            </w:r>
          </w:p>
        </w:tc>
      </w:tr>
      <w:tr>
        <w:tc>
          <w:tcPr>
            <w:tcW w:w="1900" w:type="dxa"/>
            <w:vAlign w:val="center"/>
          </w:tcPr>
          <w:p>
            <w:r>
              <w:rPr>
                <w:b/>
                <w:bCs/>
              </w:rPr>
              <w:t xml:space="preserve">Буферная память</w:t>
            </w:r>
          </w:p>
        </w:tc>
        <w:tc>
          <w:tcPr>
            <w:tcW w:w="2600" w:type="dxa"/>
            <w:vAlign w:val="center"/>
          </w:tcPr>
          <w:p>
            <w:r>
              <w:t xml:space="preserve">Общая ограниченная очередь диспетчерской системы распределения заказов</w:t>
            </w:r>
          </w:p>
        </w:tc>
        <w:tc>
          <w:tcPr>
            <w:tcW w:w="4950" w:type="dxa"/>
            <w:vAlign w:val="center"/>
          </w:tcPr>
          <w:p>
            <w:r>
              <w:t xml:space="preserve">Хранит заявки, ожидающие назначения курьера. Новая заявка встаёт в конец очереди; при освобождении места остальные заявки сдвигаются к началу, пропусков в очереди нет (Д1ОЗ2).</w:t>
            </w:r>
          </w:p>
        </w:tc>
      </w:tr>
      <w:tr>
        <w:tc>
          <w:tcPr>
            <w:tcW w:w="1900" w:type="dxa"/>
            <w:vAlign w:val="center"/>
          </w:tcPr>
          <w:p>
            <w:r>
              <w:rPr>
                <w:b/>
                <w:bCs/>
              </w:rPr>
              <w:t xml:space="preserve">Прибор</w:t>
            </w:r>
          </w:p>
        </w:tc>
        <w:tc>
          <w:tcPr>
            <w:tcW w:w="2600" w:type="dxa"/>
            <w:vAlign w:val="center"/>
          </w:tcPr>
          <w:p>
            <w:r>
              <w:t xml:space="preserve">Курьер</w:t>
            </w:r>
          </w:p>
        </w:tc>
        <w:tc>
          <w:tcPr>
            <w:tcW w:w="4950" w:type="dxa"/>
            <w:vAlign w:val="center"/>
          </w:tcPr>
          <w:p>
            <w:r>
              <w:t xml:space="preserve">Доставляет один заказ за раз. Длительность доставки (время обслуживания) имеет равномерное распределение (ПЗ2). Приоритет курьера определяется его номером (Д2П1).</w:t>
            </w:r>
          </w:p>
        </w:tc>
      </w:tr>
      <w:tr>
        <w:tc>
          <w:tcPr>
            <w:tcW w:w="1900" w:type="dxa"/>
            <w:vAlign w:val="center"/>
          </w:tcPr>
          <w:p>
            <w:r>
              <w:rPr>
                <w:b/>
                <w:bCs/>
              </w:rPr>
              <w:t xml:space="preserve">Диспетчер постановки</w:t>
            </w:r>
          </w:p>
        </w:tc>
        <w:tc>
          <w:tcPr>
            <w:tcW w:w="2600" w:type="dxa"/>
            <w:vAlign w:val="center"/>
          </w:tcPr>
          <w:p>
            <w:r>
              <w:t xml:space="preserve">Компонент приёма заказов</w:t>
            </w:r>
          </w:p>
        </w:tc>
        <w:tc>
          <w:tcPr>
            <w:tcW w:w="4950" w:type="dxa"/>
            <w:vAlign w:val="center"/>
          </w:tcPr>
          <w:p>
            <w:r>
              <w:t xml:space="preserve">Помещает новую заявку в конец буфера по Д1ОЗ2. При переполнении применяет Д1ОО5: отказ получает вновь пришедшая заявка, состояние буфера не меняется.</w:t>
            </w:r>
          </w:p>
        </w:tc>
      </w:tr>
      <w:tr>
        <w:tc>
          <w:tcPr>
            <w:tcW w:w="1900" w:type="dxa"/>
            <w:vAlign w:val="center"/>
          </w:tcPr>
          <w:p>
            <w:r>
              <w:rPr>
                <w:b/>
                <w:bCs/>
              </w:rPr>
              <w:t xml:space="preserve">Диспетчер выбора</w:t>
            </w:r>
          </w:p>
        </w:tc>
        <w:tc>
          <w:tcPr>
            <w:tcW w:w="2600" w:type="dxa"/>
            <w:vAlign w:val="center"/>
          </w:tcPr>
          <w:p>
            <w:r>
              <w:t xml:space="preserve">Планировщик назначения курьеров</w:t>
            </w:r>
          </w:p>
        </w:tc>
        <w:tc>
          <w:tcPr>
            <w:tcW w:w="4950" w:type="dxa"/>
            <w:vAlign w:val="center"/>
          </w:tcPr>
          <w:p>
            <w:r>
              <w:t xml:space="preserve">При появлении свободного курьера определяет самый приоритетный пакет заявок в буфере (наименьший номер источника) и выбирает из него заявку (Д2Б5); назначает её свободному курьеру с наименьшим номером (Д2П1). Пакет обслуживается, пока в буфере остаются его заявки.</w:t>
            </w:r>
          </w:p>
        </w:tc>
      </w:tr>
      <w:tr>
        <w:tc>
          <w:tcPr>
            <w:tcW w:w="1900" w:type="dxa"/>
            <w:vAlign w:val="center"/>
          </w:tcPr>
          <w:p>
            <w:r>
              <w:rPr>
                <w:b/>
                <w:bCs/>
              </w:rPr>
              <w:t xml:space="preserve">Отказ</w:t>
            </w:r>
          </w:p>
        </w:tc>
        <w:tc>
          <w:tcPr>
            <w:tcW w:w="2600" w:type="dxa"/>
            <w:vAlign w:val="center"/>
          </w:tcPr>
          <w:p>
            <w:r>
              <w:t xml:space="preserve">Отменённый заказ («нет свободных курьеров»)</w:t>
            </w:r>
          </w:p>
        </w:tc>
        <w:tc>
          <w:tcPr>
            <w:tcW w:w="4950" w:type="dxa"/>
            <w:vAlign w:val="center"/>
          </w:tcPr>
          <w:p>
            <w:r>
              <w:t xml:space="preserve">При заполненном буфере и занятых курьерах отказ получает вновь пришедшая заявка – без назначения курьера. Отказ учитывается источнику, сгенерировавшему заявку; буфер не изменяется (Д1ОО5).</w:t>
            </w:r>
          </w:p>
        </w:tc>
      </w:tr>
      <w:tr>
        <w:tc>
          <w:tcPr>
            <w:tcW w:w="1900" w:type="dxa"/>
            <w:vAlign w:val="center"/>
          </w:tcPr>
          <w:p>
            <w:r>
              <w:rPr>
                <w:b/>
                <w:bCs/>
              </w:rPr>
              <w:t xml:space="preserve">Обслуживание</w:t>
            </w:r>
          </w:p>
        </w:tc>
        <w:tc>
          <w:tcPr>
            <w:tcW w:w="2600" w:type="dxa"/>
            <w:vAlign w:val="center"/>
          </w:tcPr>
          <w:p>
            <w:r>
              <w:t xml:space="preserve">Доставка заказа</w:t>
            </w:r>
          </w:p>
        </w:tc>
        <w:tc>
          <w:tcPr>
            <w:tcW w:w="4950" w:type="dxa"/>
            <w:vAlign w:val="center"/>
          </w:tcPr>
          <w:p>
            <w:r>
              <w:t xml:space="preserve">Курьер доставляет заказ клиенту. После доставки курьер освобождается и становится доступен для следующего назначения.</w:t>
            </w:r>
          </w:p>
        </w:tc>
      </w:tr>
      <w:tr>
        <w:tc>
          <w:tcPr>
            <w:tcW w:w="1900" w:type="dxa"/>
            <w:vAlign w:val="center"/>
          </w:tcPr>
          <w:p>
            <w:r>
              <w:rPr>
                <w:b/>
                <w:bCs/>
              </w:rPr>
              <w:t xml:space="preserve">Выход из системы</w:t>
            </w:r>
          </w:p>
        </w:tc>
        <w:tc>
          <w:tcPr>
            <w:tcW w:w="2600" w:type="dxa"/>
            <w:vAlign w:val="center"/>
          </w:tcPr>
          <w:p>
            <w:r>
              <w:t xml:space="preserve">Доставленный или отменённый заказ</w:t>
            </w:r>
          </w:p>
        </w:tc>
        <w:tc>
          <w:tcPr>
            <w:tcW w:w="4950" w:type="dxa"/>
            <w:vAlign w:val="center"/>
          </w:tcPr>
          <w:p>
            <w:r>
              <w:t xml:space="preserve">Заявка покидает систему после доставки либо сразу при отказе. Исход учитывается в статистике: сводная таблица в автоматическом режиме (ОР1), временные диаграммы и текущее состояние модели в пошаговом режиме (ОД3).</w:t>
            </w:r>
          </w:p>
        </w:tc>
      </w:tr>
    </w:tbl>
    <w:sectPr w:rsidR="000A318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CF30D7"/>
    <w:multiLevelType w:val="hybridMultilevel"/>
    <w:tmpl w:val="B02AD2BC"/>
    <w:lvl w:ilvl="0" w:tplc="20A60844">
      <w:start w:val="1"/>
      <w:numFmt w:val="bullet"/>
      <w:lvlText w:val="●"/>
      <w:lvlJc w:val="left"/>
      <w:pPr>
        <w:ind w:left="720" w:hanging="360"/>
      </w:pPr>
    </w:lvl>
    <w:lvl w:ilvl="1" w:tplc="9888FD90">
      <w:start w:val="1"/>
      <w:numFmt w:val="bullet"/>
      <w:lvlText w:val="○"/>
      <w:lvlJc w:val="left"/>
      <w:pPr>
        <w:ind w:left="1440" w:hanging="360"/>
      </w:pPr>
    </w:lvl>
    <w:lvl w:ilvl="2" w:tplc="087E1950">
      <w:start w:val="1"/>
      <w:numFmt w:val="bullet"/>
      <w:lvlText w:val="■"/>
      <w:lvlJc w:val="left"/>
      <w:pPr>
        <w:ind w:left="2160" w:hanging="360"/>
      </w:pPr>
    </w:lvl>
    <w:lvl w:ilvl="3" w:tplc="6AD4C93C">
      <w:start w:val="1"/>
      <w:numFmt w:val="bullet"/>
      <w:lvlText w:val="●"/>
      <w:lvlJc w:val="left"/>
      <w:pPr>
        <w:ind w:left="2880" w:hanging="360"/>
      </w:pPr>
    </w:lvl>
    <w:lvl w:ilvl="4" w:tplc="9B6CEFB8">
      <w:start w:val="1"/>
      <w:numFmt w:val="bullet"/>
      <w:lvlText w:val="○"/>
      <w:lvlJc w:val="left"/>
      <w:pPr>
        <w:ind w:left="3600" w:hanging="360"/>
      </w:pPr>
    </w:lvl>
    <w:lvl w:ilvl="5" w:tplc="F23EFAEE">
      <w:start w:val="1"/>
      <w:numFmt w:val="bullet"/>
      <w:lvlText w:val="■"/>
      <w:lvlJc w:val="left"/>
      <w:pPr>
        <w:ind w:left="4320" w:hanging="360"/>
      </w:pPr>
    </w:lvl>
    <w:lvl w:ilvl="6" w:tplc="0AA00D80">
      <w:start w:val="1"/>
      <w:numFmt w:val="bullet"/>
      <w:lvlText w:val="●"/>
      <w:lvlJc w:val="left"/>
      <w:pPr>
        <w:ind w:left="5040" w:hanging="360"/>
      </w:pPr>
    </w:lvl>
    <w:lvl w:ilvl="7" w:tplc="39421160">
      <w:start w:val="1"/>
      <w:numFmt w:val="bullet"/>
      <w:lvlText w:val="●"/>
      <w:lvlJc w:val="left"/>
      <w:pPr>
        <w:ind w:left="5760" w:hanging="360"/>
      </w:pPr>
    </w:lvl>
    <w:lvl w:ilvl="8" w:tplc="FD704C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2A8"/>
    <w:rsid w:val="000A318A"/>
    <w:rsid w:val="00515998"/>
    <w:rsid w:val="0081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9A20232-7407-4EAC-946D-28C1FC61E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2026-09-22T20:37:00Z</dcterms:created>
  <dcterms:modified xsi:type="dcterms:W3CDTF">2026-09-22T20:48:00Z</dcterms:modified>
</cp:coreProperties>
</file>