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C5" w:rsidRPr="00D73FC5" w:rsidRDefault="00D73FC5" w:rsidP="00D73FC5">
      <w:pPr>
        <w:spacing w:after="0"/>
        <w:rPr>
          <w:b/>
          <w:sz w:val="20"/>
        </w:rPr>
      </w:pPr>
      <w:r w:rsidRPr="00D73FC5">
        <w:rPr>
          <w:b/>
          <w:sz w:val="20"/>
        </w:rPr>
        <w:t>4.1.1.</w:t>
      </w:r>
      <w:r w:rsidRPr="00D73FC5">
        <w:rPr>
          <w:b/>
          <w:sz w:val="20"/>
        </w:rPr>
        <w:t xml:space="preserve"> Lambda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Wyniki wskazują, że przy niskich wartościach λ poziom strat był minimalny. W miarę </w:t>
      </w:r>
      <w:proofErr w:type="spellStart"/>
      <w:r w:rsidRPr="00D73FC5">
        <w:rPr>
          <w:sz w:val="20"/>
        </w:rPr>
        <w:t>wzro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stu λ, system zaczął doświadczać większych obciążeń, co prowadziło do wzrostu ilości straconych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ramek. Analiza wyników wskazuje na wyraźną korelację między wzrostem intensywności ruchu 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zwiększonym poziomem strat, szczególnie przy wyższych wartościach λ, która została </w:t>
      </w:r>
      <w:proofErr w:type="spellStart"/>
      <w:r w:rsidRPr="00D73FC5">
        <w:rPr>
          <w:sz w:val="20"/>
        </w:rPr>
        <w:t>przedsta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proofErr w:type="spellStart"/>
      <w:r w:rsidRPr="00D73FC5">
        <w:rPr>
          <w:sz w:val="20"/>
        </w:rPr>
        <w:t>wiona</w:t>
      </w:r>
      <w:proofErr w:type="spellEnd"/>
      <w:r w:rsidRPr="00D73FC5">
        <w:rPr>
          <w:sz w:val="20"/>
        </w:rPr>
        <w:t xml:space="preserve"> na wykresie 4.1. Dłuższy czas obsługi ramek prowadził do zwiększenia poziomu strat przy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identycznych wartościach λ. Wynika to z faktu, że czas obsługi w systemie z </w:t>
      </w:r>
      <w:proofErr w:type="spellStart"/>
      <w:r w:rsidRPr="00D73FC5">
        <w:rPr>
          <w:sz w:val="20"/>
        </w:rPr>
        <w:t>λobs</w:t>
      </w:r>
      <w:proofErr w:type="spellEnd"/>
      <w:r w:rsidRPr="00D73FC5">
        <w:rPr>
          <w:sz w:val="20"/>
        </w:rPr>
        <w:t xml:space="preserve"> = 0, 001 jest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średnio dłuższy niż w systemie z </w:t>
      </w:r>
      <w:proofErr w:type="spellStart"/>
      <w:r w:rsidRPr="00D73FC5">
        <w:rPr>
          <w:sz w:val="20"/>
        </w:rPr>
        <w:t>λobs</w:t>
      </w:r>
      <w:proofErr w:type="spellEnd"/>
      <w:r w:rsidRPr="00D73FC5">
        <w:rPr>
          <w:sz w:val="20"/>
        </w:rPr>
        <w:t xml:space="preserve"> = 0, 1, co przekłada się na mniejszą </w:t>
      </w:r>
      <w:proofErr w:type="spellStart"/>
      <w:r w:rsidRPr="00D73FC5">
        <w:rPr>
          <w:sz w:val="20"/>
        </w:rPr>
        <w:t>intensywnosć</w:t>
      </w:r>
      <w:proofErr w:type="spellEnd"/>
      <w:r w:rsidRPr="00D73FC5">
        <w:rPr>
          <w:sz w:val="20"/>
        </w:rPr>
        <w:t xml:space="preserve"> obsługi,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tym samym dłuższy czas przetwarzania ramek i ich usunięcie z buforów wejściowych.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Zależność ta znajduje odzwierciedlenie w modelach teoretycznych, w których zmniejszenie </w:t>
      </w:r>
      <w:proofErr w:type="spellStart"/>
      <w:r w:rsidRPr="00D73FC5">
        <w:rPr>
          <w:sz w:val="20"/>
        </w:rPr>
        <w:t>inten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proofErr w:type="spellStart"/>
      <w:r w:rsidRPr="00D73FC5">
        <w:rPr>
          <w:sz w:val="20"/>
        </w:rPr>
        <w:t>sywności</w:t>
      </w:r>
      <w:proofErr w:type="spellEnd"/>
      <w:r w:rsidRPr="00D73FC5">
        <w:rPr>
          <w:sz w:val="20"/>
        </w:rPr>
        <w:t xml:space="preserve"> strumienia obsługi bezpośrednia wpływa na wzrost prawdopodobieństwa strat w systemie</w:t>
      </w:r>
    </w:p>
    <w:p w:rsidR="00D73FC5" w:rsidRPr="00D73FC5" w:rsidRDefault="00D73FC5" w:rsidP="00D73FC5">
      <w:pPr>
        <w:spacing w:after="0"/>
        <w:rPr>
          <w:b/>
          <w:sz w:val="20"/>
        </w:rPr>
      </w:pPr>
    </w:p>
    <w:p w:rsidR="00D73FC5" w:rsidRPr="00D73FC5" w:rsidRDefault="00D73FC5" w:rsidP="00D73FC5">
      <w:pPr>
        <w:spacing w:after="0"/>
        <w:rPr>
          <w:b/>
          <w:sz w:val="20"/>
        </w:rPr>
      </w:pPr>
      <w:r w:rsidRPr="00D73FC5">
        <w:rPr>
          <w:b/>
          <w:sz w:val="20"/>
        </w:rPr>
        <w:t>4.1.2 (CONSTANT)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Przy niskiej wartości stałej wynoszącej od 0 do 10 poziom strat ramek był największy wynosząc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ponad 90%. Mała wartość </w:t>
      </w:r>
      <w:proofErr w:type="spellStart"/>
      <w:r w:rsidRPr="00D73FC5">
        <w:rPr>
          <w:sz w:val="20"/>
        </w:rPr>
        <w:t>constant</w:t>
      </w:r>
      <w:proofErr w:type="spellEnd"/>
      <w:r w:rsidRPr="00D73FC5">
        <w:rPr>
          <w:sz w:val="20"/>
        </w:rPr>
        <w:t xml:space="preserve"> oznaczała, że ramki były generowane bardzo często, co </w:t>
      </w:r>
      <w:proofErr w:type="spellStart"/>
      <w:r w:rsidRPr="00D73FC5">
        <w:rPr>
          <w:sz w:val="20"/>
        </w:rPr>
        <w:t>prowa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proofErr w:type="spellStart"/>
      <w:r w:rsidRPr="00D73FC5">
        <w:rPr>
          <w:sz w:val="20"/>
        </w:rPr>
        <w:t>dziło</w:t>
      </w:r>
      <w:proofErr w:type="spellEnd"/>
      <w:r w:rsidRPr="00D73FC5">
        <w:rPr>
          <w:sz w:val="20"/>
        </w:rPr>
        <w:t xml:space="preserve"> do szybkiego zapełniania się buforów. Wraz ze zwiększaniem się parametru </w:t>
      </w:r>
      <w:proofErr w:type="spellStart"/>
      <w:r w:rsidRPr="00D73FC5">
        <w:rPr>
          <w:sz w:val="20"/>
        </w:rPr>
        <w:t>constant</w:t>
      </w:r>
      <w:proofErr w:type="spellEnd"/>
      <w:r w:rsidRPr="00D73FC5">
        <w:rPr>
          <w:sz w:val="20"/>
        </w:rPr>
        <w:t>, poziom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strat malał, aż osiągnął poziom blisko 0 przy </w:t>
      </w:r>
      <w:proofErr w:type="spellStart"/>
      <w:r w:rsidRPr="00D73FC5">
        <w:rPr>
          <w:sz w:val="20"/>
        </w:rPr>
        <w:t>constant</w:t>
      </w:r>
      <w:proofErr w:type="spellEnd"/>
      <w:r w:rsidRPr="00D73FC5">
        <w:rPr>
          <w:sz w:val="20"/>
        </w:rPr>
        <w:t xml:space="preserve"> równym 1500. Na rysunku 4.3 przedstawiony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został wykres tego zdarzenia.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Mimo zmiany źródła losowości widoczna jest ta sama zależność, w której spadek odstępów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czasu między napływem kolejnych ramek wpływa na wzrost strat w systemie. Wyniki te można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porównać ze strumieniem ramek modelowanym wykładniczo przyjmując wartość </w:t>
      </w:r>
      <w:proofErr w:type="spellStart"/>
      <w:r w:rsidRPr="00D73FC5">
        <w:rPr>
          <w:sz w:val="20"/>
        </w:rPr>
        <w:t>constant</w:t>
      </w:r>
      <w:proofErr w:type="spellEnd"/>
      <w:r w:rsidRPr="00D73FC5">
        <w:rPr>
          <w:sz w:val="20"/>
        </w:rPr>
        <w:t xml:space="preserve"> jako od-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powiadający wartości oczekiwanej rozkładu wykładniczego 1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λ [25]. Przy takiej interpretacji można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zauważyć, że wyniki dla ruchu opisanego wartością stałą są zbieżne względem ruchu opisanego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procesem Poissona.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Należy zwrócić uwagę na istotną różnicę pomiędzy rysunkami 4.3 oraz 4.1 i 4.1.1. Przedstawienie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na rysunkach 4.1 i 4.1.1 bezpośrednio wartości λ powoduje to, że zależność jest odwrócona w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osi odciętych względem 4.3. Aby zatem mówić o odstępie czasowym między ramkami należałoby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znormalizować 4.1 i 4.1.1 np. poprzez umieszczenie na osi x wartości oczekiwanej wyrażanej jako</w:t>
      </w:r>
    </w:p>
    <w:p w:rsidR="00D73FC5" w:rsidRPr="00D73FC5" w:rsidRDefault="00D73FC5" w:rsidP="00D73FC5">
      <w:pPr>
        <w:spacing w:after="0"/>
        <w:rPr>
          <w:sz w:val="20"/>
        </w:rPr>
      </w:pPr>
    </w:p>
    <w:p w:rsidR="00D73FC5" w:rsidRPr="00D73FC5" w:rsidRDefault="00D73FC5" w:rsidP="00D73FC5">
      <w:pPr>
        <w:spacing w:after="0"/>
        <w:rPr>
          <w:b/>
          <w:sz w:val="20"/>
        </w:rPr>
      </w:pPr>
      <w:r w:rsidRPr="00D73FC5">
        <w:rPr>
          <w:b/>
          <w:sz w:val="20"/>
        </w:rPr>
        <w:t>4.2 WIELKOŚC RAMKI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Symulacje wykazują, że rozmiar ramki ma marginalny wpływ na poziom strat w systemie. Małe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ramki są przetwarzane efektywniej, co prowadzi do mniejszych strat, podczas gdy większe ramki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powodują zwiększone obciążenie systemu i wyższe poziomy strat. Różnice te są jednak stosunkowo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niewielkie i w niektórych przebiegach mieszczą się nawet w graniach błędu statystycznego. Biorąc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pod uwagę, że system interpretowany jest jako jednoklasowy można założyć, że na poziom strat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 tym badaniu wpływ ma wyłącznie czas obsługi, który zgodnie z przyjętym sposobem działania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symulatora zależny jest od długości ramki, co omówiono szczegółowo w rozmiarze 3.</w:t>
      </w:r>
    </w:p>
    <w:p w:rsidR="00D73FC5" w:rsidRPr="00D73FC5" w:rsidRDefault="00D73FC5" w:rsidP="00D73FC5">
      <w:pPr>
        <w:spacing w:after="0"/>
        <w:rPr>
          <w:sz w:val="20"/>
        </w:rPr>
      </w:pPr>
    </w:p>
    <w:p w:rsidR="00D73FC5" w:rsidRPr="00D73FC5" w:rsidRDefault="00D73FC5" w:rsidP="00D73FC5">
      <w:pPr>
        <w:spacing w:after="0"/>
        <w:rPr>
          <w:b/>
          <w:sz w:val="20"/>
        </w:rPr>
      </w:pPr>
      <w:r w:rsidRPr="00D73FC5">
        <w:rPr>
          <w:b/>
          <w:sz w:val="20"/>
        </w:rPr>
        <w:t>4.3 BUFOR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Większe bufory pozwalają na przechowywanie większej liczby ramek przed ich przetworzeniem,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co zmniejsza prawdopodobieństwo strat nadchodzących zgłoszeń. Analogicznie mniejsze bufory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szybciej się zapełniają co prowadzi do większych strat ramek, szczególnie przy wyższej </w:t>
      </w:r>
      <w:proofErr w:type="spellStart"/>
      <w:r w:rsidRPr="00D73FC5">
        <w:rPr>
          <w:sz w:val="20"/>
        </w:rPr>
        <w:t>intensyw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proofErr w:type="spellStart"/>
      <w:r w:rsidRPr="00D73FC5">
        <w:rPr>
          <w:sz w:val="20"/>
        </w:rPr>
        <w:t>ności</w:t>
      </w:r>
      <w:proofErr w:type="spellEnd"/>
      <w:r w:rsidRPr="00D73FC5">
        <w:rPr>
          <w:sz w:val="20"/>
        </w:rPr>
        <w:t xml:space="preserve"> ruchu.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 ogólnym przypadku poziom strat gwałtownie maleje wraz ze wzrostem wielkości bufora. Już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przy kilkukrotnym zwiększeniu wielkości bufora poziom strat spada kilkukrotnie. Przy </w:t>
      </w:r>
      <w:proofErr w:type="spellStart"/>
      <w:r w:rsidRPr="00D73FC5">
        <w:rPr>
          <w:sz w:val="20"/>
        </w:rPr>
        <w:t>zastoso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proofErr w:type="spellStart"/>
      <w:r w:rsidRPr="00D73FC5">
        <w:rPr>
          <w:sz w:val="20"/>
        </w:rPr>
        <w:t>waniu</w:t>
      </w:r>
      <w:proofErr w:type="spellEnd"/>
      <w:r w:rsidRPr="00D73FC5">
        <w:rPr>
          <w:sz w:val="20"/>
        </w:rPr>
        <w:t xml:space="preserve"> dostatecznie dużego bufora poziom strat dąży do zera. Zjawisko to znajduje uzasadnienie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teoretyczne. Zwiększenie kolejki zgłoszeń w systemach takich jak model </w:t>
      </w:r>
      <w:proofErr w:type="spellStart"/>
      <w:r w:rsidRPr="00D73FC5">
        <w:rPr>
          <w:sz w:val="20"/>
        </w:rPr>
        <w:t>Erlanga</w:t>
      </w:r>
      <w:proofErr w:type="spellEnd"/>
      <w:r w:rsidRPr="00D73FC5">
        <w:rPr>
          <w:sz w:val="20"/>
        </w:rPr>
        <w:t xml:space="preserve"> z opóźnieniem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pozwala zmniejszyć poziom strat przy zachowaniu bez zmian pozostałych parametrów systemu.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Bufor, stanowiący w rozumieniu takiego systemu kolejkę zgłoszeń, pozwala przyjmować do </w:t>
      </w:r>
      <w:proofErr w:type="spellStart"/>
      <w:r w:rsidRPr="00D73FC5">
        <w:rPr>
          <w:sz w:val="20"/>
        </w:rPr>
        <w:t>sys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temu kolejne zgłoszenia, które oczekują na obsługę. Przy odpowiednio długiej kolejce względem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intensywności ruchu prawdopodobieństwo strat może zostać zminimalizowane [21].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 niektórych przypadkach jak na rysunku 4.7 zauważalny jest obszar, w którym poziom strat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lastRenderedPageBreak/>
        <w:t xml:space="preserve">jest zbliżony niezależnie od zmian wielkości bufora. Analogiczna sytuacja widoczna jest na </w:t>
      </w:r>
      <w:proofErr w:type="spellStart"/>
      <w:r w:rsidRPr="00D73FC5">
        <w:rPr>
          <w:sz w:val="20"/>
        </w:rPr>
        <w:t>ry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proofErr w:type="spellStart"/>
      <w:r w:rsidRPr="00D73FC5">
        <w:rPr>
          <w:sz w:val="20"/>
        </w:rPr>
        <w:t>sunkach</w:t>
      </w:r>
      <w:proofErr w:type="spellEnd"/>
      <w:r w:rsidRPr="00D73FC5">
        <w:rPr>
          <w:sz w:val="20"/>
        </w:rPr>
        <w:t xml:space="preserve"> 4.9 oraz 4.10. Sugeruje to, że w pewnym zakresie rozmiar bufora nie wpływu na poziom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strat przy danej intensywności ruchu. W przypadkach takich jak na rysunku 4.8 poziom strat ma-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leje proporcjonalnie do wzrostu rozmiaru bufora. Odchylenie widoczne jest jedynie na końcu tej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zależności.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Symulacje wykazują, że wielkość bufora ma istotny wpływ na poziom strat ramek zwłaszcza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 kontekście różnych czasów obsługi ramek. Dłuższy czas obsługi pozwala na skuteczniejsze wy-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korzystanie mniejszych buforów, podczas gdy krótszy czas obsługi wymaga znacznie większych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buforów, aby osiągnąć podobne poziomy strat.</w:t>
      </w:r>
    </w:p>
    <w:p w:rsidR="00D73FC5" w:rsidRPr="00D73FC5" w:rsidRDefault="00D73FC5" w:rsidP="00D73FC5">
      <w:pPr>
        <w:spacing w:after="0"/>
        <w:rPr>
          <w:sz w:val="20"/>
        </w:rPr>
      </w:pPr>
    </w:p>
    <w:p w:rsidR="00D73FC5" w:rsidRPr="00D73FC5" w:rsidRDefault="00D73FC5" w:rsidP="00D73FC5">
      <w:pPr>
        <w:spacing w:after="0"/>
        <w:rPr>
          <w:b/>
          <w:sz w:val="20"/>
        </w:rPr>
      </w:pPr>
      <w:r w:rsidRPr="00D73FC5">
        <w:rPr>
          <w:b/>
          <w:sz w:val="20"/>
        </w:rPr>
        <w:t>4.4 RUCH ROZGŁOSZENIOWY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Wzrost procentu ruchu rozgłoszeniowego ma istotny wpływ na poziom strat w systemie. Wraz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ze wzrostem udziału ruchu rozgłoszeniowego, poziom strat ramek znacząco wzrasta. Ruch </w:t>
      </w:r>
      <w:proofErr w:type="spellStart"/>
      <w:r w:rsidRPr="00D73FC5">
        <w:rPr>
          <w:sz w:val="20"/>
        </w:rPr>
        <w:t>roz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proofErr w:type="spellStart"/>
      <w:r w:rsidRPr="00D73FC5">
        <w:rPr>
          <w:sz w:val="20"/>
        </w:rPr>
        <w:t>głoszeniowy</w:t>
      </w:r>
      <w:proofErr w:type="spellEnd"/>
      <w:r w:rsidRPr="00D73FC5">
        <w:rPr>
          <w:sz w:val="20"/>
        </w:rPr>
        <w:t xml:space="preserve"> musi zostać przekazany na każdy z interfejsów z wyłączeniem interfejsu źródłowego,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co przekłada się na znaczące obciążenie całego systemu. Minimalizacja ruchu rozgłoszeniowego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jest kluczowa dla utrzymania niskiego poziomu strat i wydajności przełącznika. Charakterystyka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wzrostu jest porównywalna dla różnych poziomów intensywności ruchu. Warto odnotować, że dla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większej intensywności poziom strat wzrasta szybciej, co wynika z samej ilości napływających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zgłoszeń.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Niski poziom ruchu rozgłoszeniowego pozwala na efektywne przetwarzanie ramek z </w:t>
      </w:r>
      <w:proofErr w:type="spellStart"/>
      <w:r w:rsidRPr="00D73FC5">
        <w:rPr>
          <w:sz w:val="20"/>
        </w:rPr>
        <w:t>minimal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proofErr w:type="spellStart"/>
      <w:r w:rsidRPr="00D73FC5">
        <w:rPr>
          <w:sz w:val="20"/>
        </w:rPr>
        <w:t>nymi</w:t>
      </w:r>
      <w:proofErr w:type="spellEnd"/>
      <w:r w:rsidRPr="00D73FC5">
        <w:rPr>
          <w:sz w:val="20"/>
        </w:rPr>
        <w:t xml:space="preserve"> stratami, podczas gdy wysoki poziom ruchu rozgłoszeniowego prowadzi do znaczącego </w:t>
      </w:r>
      <w:proofErr w:type="spellStart"/>
      <w:r w:rsidRPr="00D73FC5">
        <w:rPr>
          <w:sz w:val="20"/>
        </w:rPr>
        <w:t>ob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ciążenia systemu. Wyniki te potwierdzają dobrze znane praktyki sieciowe, w których dąży się do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ograniczania rozmiaru domen rozgłoszeniowych jak również samej ilości rozsyłanych ramek </w:t>
      </w:r>
      <w:proofErr w:type="spellStart"/>
      <w:r w:rsidRPr="00D73FC5">
        <w:rPr>
          <w:sz w:val="20"/>
        </w:rPr>
        <w:t>roz</w:t>
      </w:r>
      <w:proofErr w:type="spellEnd"/>
      <w:r w:rsidRPr="00D73FC5">
        <w:rPr>
          <w:sz w:val="20"/>
        </w:rPr>
        <w:t>-</w:t>
      </w:r>
    </w:p>
    <w:p w:rsidR="00D73FC5" w:rsidRPr="00D73FC5" w:rsidRDefault="00D73FC5" w:rsidP="00D73FC5">
      <w:pPr>
        <w:spacing w:after="0"/>
        <w:rPr>
          <w:sz w:val="20"/>
        </w:rPr>
      </w:pPr>
      <w:proofErr w:type="spellStart"/>
      <w:r w:rsidRPr="00D73FC5">
        <w:rPr>
          <w:sz w:val="20"/>
        </w:rPr>
        <w:t>głoszeniowych</w:t>
      </w:r>
      <w:proofErr w:type="spellEnd"/>
      <w:r w:rsidRPr="00D73FC5">
        <w:rPr>
          <w:sz w:val="20"/>
        </w:rPr>
        <w:t xml:space="preserve"> [17]. Zmniejszenie ilości ruchu rozgłoszeniowego w sieci lokalnej pozwala znacząco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poprawić wydajność przełącznika zarówno w formie modelu matematycznego jak i w rzeczywistych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urządzeniach</w:t>
      </w:r>
    </w:p>
    <w:p w:rsidR="00D73FC5" w:rsidRPr="00D73FC5" w:rsidRDefault="00D73FC5" w:rsidP="00D73FC5">
      <w:pPr>
        <w:spacing w:after="0"/>
        <w:rPr>
          <w:sz w:val="20"/>
        </w:rPr>
      </w:pPr>
    </w:p>
    <w:p w:rsidR="00D73FC5" w:rsidRPr="00D73FC5" w:rsidRDefault="00D73FC5" w:rsidP="00D73FC5">
      <w:pPr>
        <w:spacing w:after="0"/>
        <w:rPr>
          <w:b/>
          <w:sz w:val="20"/>
        </w:rPr>
      </w:pPr>
      <w:r w:rsidRPr="00D73FC5">
        <w:rPr>
          <w:b/>
          <w:sz w:val="20"/>
        </w:rPr>
        <w:t>4.5. ROZMIAR CAM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Wyniki symulacji wskazują ścisły związek między rozmiarem tablicy CAM a poziomem strat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 systemie. Większy rozmiar tablicy CAM przekłada się na mniejsze straty ramek w systemie,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zaś większa tablica CAM zmniejsza poziom strat. Zależność ta jest bezpośrednim następstwem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sposobu działania przełącznika warstwy drugiej. Zmniejszenie rozmiaru tablicy CAM ogranicza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maksymalną liczbę adresów jakie może zapamiętać przełącznik, a ruch z niezapisanych adresów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przesyłany jest </w:t>
      </w:r>
      <w:proofErr w:type="spellStart"/>
      <w:r w:rsidRPr="00D73FC5">
        <w:rPr>
          <w:sz w:val="20"/>
        </w:rPr>
        <w:t>rozgłoszeniowo</w:t>
      </w:r>
      <w:proofErr w:type="spellEnd"/>
      <w:r w:rsidRPr="00D73FC5">
        <w:rPr>
          <w:sz w:val="20"/>
        </w:rPr>
        <w:t xml:space="preserve"> [17]. Tym samym rozmiar tablicy CAM wpływa na ilość ruchu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rozgłoszeniowego i pośrednio na wzrost strat w systemie. Można przyjąć założenie, że poziom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strat dla danych rozmiarów tablicy CAM odpowiadał będzie ogólnej ilości ruchu </w:t>
      </w:r>
      <w:proofErr w:type="spellStart"/>
      <w:r w:rsidRPr="00D73FC5">
        <w:rPr>
          <w:sz w:val="20"/>
        </w:rPr>
        <w:t>rozgłoszenioweg</w:t>
      </w:r>
      <w:proofErr w:type="spellEnd"/>
      <w:r w:rsidRPr="00D73FC5">
        <w:rPr>
          <w:sz w:val="20"/>
        </w:rPr>
        <w:t>.</w:t>
      </w:r>
    </w:p>
    <w:p w:rsidR="00D73FC5" w:rsidRPr="00D73FC5" w:rsidRDefault="00D73FC5" w:rsidP="00D73FC5">
      <w:pPr>
        <w:spacing w:after="0"/>
        <w:rPr>
          <w:b/>
          <w:sz w:val="20"/>
        </w:rPr>
      </w:pPr>
    </w:p>
    <w:p w:rsidR="00D73FC5" w:rsidRPr="00D73FC5" w:rsidRDefault="00D73FC5" w:rsidP="00D73FC5">
      <w:pPr>
        <w:spacing w:after="0"/>
        <w:rPr>
          <w:b/>
          <w:sz w:val="20"/>
        </w:rPr>
      </w:pPr>
      <w:r w:rsidRPr="00D73FC5">
        <w:rPr>
          <w:b/>
          <w:sz w:val="20"/>
        </w:rPr>
        <w:t>4.6 MAC FLOODING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Wielkość tablicy CAM ma istotny </w:t>
      </w:r>
      <w:bookmarkStart w:id="0" w:name="_GoBack"/>
      <w:bookmarkEnd w:id="0"/>
      <w:r w:rsidRPr="00D73FC5">
        <w:rPr>
          <w:sz w:val="20"/>
        </w:rPr>
        <w:t>wpływ na poziom strat ramek. Im większy rozmiar tablicy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CAM, tym mniejsze straty ramek dla tego samego czasu życia. Małe tablice CAM wykazują wyższe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straty ramek przy każdej wartości TTL, podczas gdy duże tablice CAM mają znacznie niższe straty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ramek, szczególnie przy niższych wartościach TTL. Krótszy czas życia powoduje większe straty,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szczególnie w mniejszych tablicach CAM. Zwiększenie TTL do 250 zmniejsza straty, ale ten efekt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jest bardziej widoczny w większych tablicach CAM.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Analizowany przypadek pozwala stwierdzić, że wartość TTL musi zostać zoptymalizowana pod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kątem minimalizacji strat w realiach ataku na tablicę CAM. Zbyt mała wartość TTL powoduje,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że do tablicy regularnie napływają nowe, fałszywe wpisy z losowych adresów; z kolei zbyt duża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wartość TTL sprawia, że fałszywe wpisy utrzymują się w tablicy przez długi okres czasu nawet jeśli</w:t>
      </w:r>
    </w:p>
    <w:p w:rsidR="00D73FC5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 xml:space="preserve">nie </w:t>
      </w:r>
      <w:proofErr w:type="spellStart"/>
      <w:r w:rsidRPr="00D73FC5">
        <w:rPr>
          <w:sz w:val="20"/>
        </w:rPr>
        <w:t>napływą</w:t>
      </w:r>
      <w:proofErr w:type="spellEnd"/>
      <w:r w:rsidRPr="00D73FC5">
        <w:rPr>
          <w:sz w:val="20"/>
        </w:rPr>
        <w:t xml:space="preserve"> ramki, które je zawierają. Parametr ten należy zatem wypośrodkować na podstawie</w:t>
      </w:r>
    </w:p>
    <w:p w:rsidR="00C50FBC" w:rsidRPr="00D73FC5" w:rsidRDefault="00D73FC5" w:rsidP="00D73FC5">
      <w:pPr>
        <w:spacing w:after="0"/>
        <w:rPr>
          <w:sz w:val="20"/>
        </w:rPr>
      </w:pPr>
      <w:r w:rsidRPr="00D73FC5">
        <w:rPr>
          <w:sz w:val="20"/>
        </w:rPr>
        <w:t>dalszych doświadczeń.</w:t>
      </w:r>
    </w:p>
    <w:sectPr w:rsidR="00C50FBC" w:rsidRPr="00D73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C5"/>
    <w:rsid w:val="00C50FBC"/>
    <w:rsid w:val="00D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111C5-4A18-43BC-820B-91B0A57D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1104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2024-06-12T18:04:00Z</dcterms:created>
  <dcterms:modified xsi:type="dcterms:W3CDTF">2024-06-12T18:05:00Z</dcterms:modified>
</cp:coreProperties>
</file>