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20"/>
        <w:rPr>
          <w:rFonts w:ascii="Calibri" w:cs="Calibri" w:eastAsia="Calibri" w:hAnsi="Calibri"/>
          <w:b/>
          <w:bCs/>
          <w:color w:val="111111"/>
          <w:sz w:val="36"/>
          <w:szCs w:val="36"/>
        </w:rPr>
      </w:pPr>
      <w:r>
        <w:t xml:space="preserve">Benchmark Synthesis: UX Patterns For The Learn-To-Hire Loop</w:t>
      </w:r>
    </w:p>
    <w:p>
      <w:pPr>
        <w:pStyle w:val="Heading2"/>
        <w:spacing w:after="100" w:before="280"/>
        <w:rPr>
          <w:rFonts w:ascii="Calibri" w:cs="Calibri" w:eastAsia="Calibri" w:hAnsi="Calibri"/>
          <w:b/>
          <w:bCs/>
          <w:color w:val="222222"/>
          <w:sz w:val="30"/>
          <w:szCs w:val="30"/>
        </w:rPr>
      </w:pPr>
      <w:r>
        <w:t xml:space="preserve">Overview</w:t>
      </w:r>
    </w:p>
    <w:p>
      <w:pPr>
        <w:spacing w:after="140" w:before="0" w:line="276"/>
        <w:jc w:val="left"/>
      </w:pPr>
      <w:r>
        <w:rPr>
          <w:rFonts w:ascii="Calibri" w:cs="Calibri" w:eastAsia="Calibri" w:hAnsi="Calibri"/>
          <w:b w:val="false"/>
          <w:bCs w:val="false"/>
          <w:color w:val="1A1A1A"/>
          <w:sz w:val="24"/>
          <w:szCs w:val="24"/>
        </w:rPr>
        <w:t xml:space="preserve">This synthesis converts the benchmark CSV and local artifacts into a decision-ready view for solve.education. It covers Brilliant, DataCamp, Busuu, and Khan Academy, using the CSV as the feature index and the local screenshots, notes, syntheses, and flow GIFs as evidence.</w:t>
      </w:r>
    </w:p>
    <w:p>
      <w:pPr>
        <w:spacing w:after="140" w:before="0" w:line="276"/>
        <w:jc w:val="left"/>
      </w:pPr>
      <w:r>
        <w:rPr>
          <w:rFonts w:ascii="Calibri" w:cs="Calibri" w:eastAsia="Calibri" w:hAnsi="Calibri"/>
          <w:b w:val="false"/>
          <w:bCs w:val="false"/>
          <w:color w:val="1A1A1A"/>
          <w:sz w:val="24"/>
          <w:szCs w:val="24"/>
        </w:rPr>
        <w:t xml:space="preserve">The strongest takeaway is that world-class learning apps do not win with one feature. They combine five loops: a guided start, an active practice surface, in-context recovery when learners get stuck, credible mastery signaling, and a return trigger. For solve.education, the build opportunity is to adapt those loops so learning activity can become validation-ready evidence of skill, not just course completion.</w:t>
      </w:r>
    </w:p>
    <w:p>
      <w:pPr>
        <w:pStyle w:val="Heading2"/>
        <w:spacing w:after="100" w:before="280"/>
        <w:rPr>
          <w:rFonts w:ascii="Calibri" w:cs="Calibri" w:eastAsia="Calibri" w:hAnsi="Calibri"/>
          <w:b/>
          <w:bCs/>
          <w:color w:val="222222"/>
          <w:sz w:val="30"/>
          <w:szCs w:val="30"/>
        </w:rPr>
      </w:pPr>
      <w:r>
        <w:t xml:space="preserve">Pattern 1: Guided Start To First Meaningful Action</w:t>
      </w:r>
    </w:p>
    <w:p>
      <w:pPr>
        <w:spacing w:after="140" w:before="0" w:line="276"/>
        <w:jc w:val="left"/>
      </w:pPr>
      <w:r>
        <w:rPr>
          <w:rFonts w:ascii="Calibri" w:cs="Calibri" w:eastAsia="Calibri" w:hAnsi="Calibri"/>
          <w:b w:val="false"/>
          <w:bCs w:val="false"/>
          <w:color w:val="1A1A1A"/>
          <w:sz w:val="24"/>
          <w:szCs w:val="24"/>
        </w:rPr>
        <w:t xml:space="preserve">Short description. Brilliant and Khan Academy reduce "what should I do next?" into one recommended action. The pattern is strongest when it moves the learner directly into practice, not into another browse surface.</w:t>
      </w:r>
    </w:p>
    <w:p>
      <w:pPr>
        <w:spacing w:after="140" w:before="0" w:line="276"/>
        <w:jc w:val="left"/>
      </w:pPr>
      <w:r>
        <w:rPr>
          <w:rFonts w:ascii="Calibri" w:cs="Calibri" w:eastAsia="Calibri" w:hAnsi="Calibri"/>
          <w:b w:val="false"/>
          <w:bCs w:val="false"/>
          <w:color w:val="1A1A1A"/>
          <w:sz w:val="24"/>
          <w:szCs w:val="24"/>
        </w:rPr>
        <w:t xml:space="preserve">Key findings. Brilliant's smart search gives a concrete recommendation and explains why that lesson fits (`../2026-07-02-briliant/assets/smart-search-3.png`). Khan Academy consistently surfaces a single next step in the course path and after a skill set (`../2026-07-06-benchmark-learning-effectiveness-loops/platforms/khan-academy/screenshots/07-skill-summary-mastery.png`). The user sees a narrowed choice, takes one obvious action, and the system routes them toward the next learning object. The risk is recommendation theater: if the output is generic or asks clarifying questions after recommending, the personalization claim weakens.</w:t>
      </w:r>
    </w:p>
    <w:p>
      <w:pPr>
        <w:spacing w:after="140" w:before="0" w:line="276"/>
        <w:jc w:val="left"/>
      </w:pPr>
      <w:r>
        <w:rPr>
          <w:rFonts w:ascii="Calibri" w:cs="Calibri" w:eastAsia="Calibri" w:hAnsi="Calibri"/>
          <w:b w:val="false"/>
          <w:bCs w:val="false"/>
          <w:color w:val="1A1A1A"/>
          <w:sz w:val="24"/>
          <w:szCs w:val="24"/>
        </w:rPr>
        <w:t xml:space="preserve">Why this feature works. Early dropout often starts before learning begins. A clear next action reduces decision load and shortens time to first practice. For solve.education, this is an activation lever, not a retention lever.</w:t>
      </w:r>
    </w:p>
    <w:p>
      <w:pPr>
        <w:spacing w:after="140" w:before="0" w:line="276"/>
        <w:jc w:val="left"/>
      </w:pPr>
      <w:r>
        <w:rPr>
          <w:rFonts w:ascii="Calibri" w:cs="Calibri" w:eastAsia="Calibri" w:hAnsi="Calibri"/>
          <w:b w:val="false"/>
          <w:bCs w:val="false"/>
          <w:color w:val="1A1A1A"/>
          <w:sz w:val="24"/>
          <w:szCs w:val="24"/>
        </w:rPr>
        <w:t xml:space="preserve">How to validate. Compare a goal-to-first-task recommender against the current entry path. Measure first-task start rate, first-task completion, and whether accepted recommendations produce later progress.</w:t>
      </w:r>
    </w:p>
    <w:p>
      <w:pPr>
        <w:pStyle w:val="Heading2"/>
        <w:spacing w:after="100" w:before="280"/>
        <w:rPr>
          <w:rFonts w:ascii="Calibri" w:cs="Calibri" w:eastAsia="Calibri" w:hAnsi="Calibri"/>
          <w:b/>
          <w:bCs/>
          <w:color w:val="222222"/>
          <w:sz w:val="30"/>
          <w:szCs w:val="30"/>
        </w:rPr>
      </w:pPr>
      <w:r>
        <w:t xml:space="preserve">Pattern 2: Learn By Doing In The Browser</w:t>
      </w:r>
    </w:p>
    <w:p>
      <w:pPr>
        <w:spacing w:after="140" w:before="0" w:line="276"/>
        <w:jc w:val="left"/>
      </w:pPr>
      <w:r>
        <w:rPr>
          <w:rFonts w:ascii="Calibri" w:cs="Calibri" w:eastAsia="Calibri" w:hAnsi="Calibri"/>
          <w:b w:val="false"/>
          <w:bCs w:val="false"/>
          <w:color w:val="1A1A1A"/>
          <w:sz w:val="24"/>
          <w:szCs w:val="24"/>
        </w:rPr>
        <w:t xml:space="preserve">Short description. DataCamp, Brilliant, and Busuu put learners into action quickly with a structured task, immediate submission, and visible feedback.</w:t>
      </w:r>
    </w:p>
    <w:p>
      <w:pPr>
        <w:spacing w:after="140" w:before="0" w:line="276"/>
        <w:jc w:val="left"/>
      </w:pPr>
      <w:r>
        <w:rPr>
          <w:rFonts w:ascii="Calibri" w:cs="Calibri" w:eastAsia="Calibri" w:hAnsi="Calibri"/>
          <w:b w:val="false"/>
          <w:bCs w:val="false"/>
          <w:color w:val="1A1A1A"/>
          <w:sz w:val="24"/>
          <w:szCs w:val="24"/>
        </w:rPr>
        <w:t xml:space="preserve">Key findings. DataCamp shows a split-screen exercise with instructions, scaffolded Python code, Run Code, Submit Answer, shell output, and XP feedback (`../2026-07-03-datacamp-learning-experience/platforms/datacamp/screenshots/04-exercise-player-split-screen.png`). Brilliant uses block-based sequencing for pre-syntax coding logic (`../2026-07-02-briliant/assets/non-mcq-1.png`). Busuu uses short active recall tasks with word tiles, matching, audio, and grammar feedback (`../2026-07-03-busuu-learning-experience/platforms/busuu/screenshots/03-complete-the-sentence-exercise.png`). The user sees a task, acts inside the learning surface, and the system responds without setup friction.</w:t>
      </w:r>
    </w:p>
    <w:p>
      <w:pPr>
        <w:spacing w:after="140" w:before="0" w:line="276"/>
        <w:jc w:val="left"/>
      </w:pPr>
      <w:r>
        <w:rPr>
          <w:rFonts w:ascii="Calibri" w:cs="Calibri" w:eastAsia="Calibri" w:hAnsi="Calibri"/>
          <w:b w:val="false"/>
          <w:bCs w:val="false"/>
          <w:color w:val="1A1A1A"/>
          <w:sz w:val="24"/>
          <w:szCs w:val="24"/>
        </w:rPr>
        <w:t xml:space="preserve">Why this feature works. Active practice creates stronger evidence than passive content consumption. For solve.education, this pattern matters because job readiness depends on what learners can produce, not what they watched.</w:t>
      </w:r>
    </w:p>
    <w:p>
      <w:pPr>
        <w:spacing w:after="140" w:before="0" w:line="276"/>
        <w:jc w:val="left"/>
      </w:pPr>
      <w:r>
        <w:rPr>
          <w:rFonts w:ascii="Calibri" w:cs="Calibri" w:eastAsia="Calibri" w:hAnsi="Calibri"/>
          <w:b w:val="false"/>
          <w:bCs w:val="false"/>
          <w:color w:val="1A1A1A"/>
          <w:sz w:val="24"/>
          <w:szCs w:val="24"/>
        </w:rPr>
        <w:t xml:space="preserve">How to validate. A/B scaffolded task completion against passive lesson consumption. Measure completion, time to first attempt, retry behavior, and delayed unaided performance.</w:t>
      </w:r>
    </w:p>
    <w:p>
      <w:pPr>
        <w:pStyle w:val="Heading2"/>
        <w:spacing w:after="100" w:before="280"/>
        <w:rPr>
          <w:rFonts w:ascii="Calibri" w:cs="Calibri" w:eastAsia="Calibri" w:hAnsi="Calibri"/>
          <w:b/>
          <w:bCs/>
          <w:color w:val="222222"/>
          <w:sz w:val="30"/>
          <w:szCs w:val="30"/>
        </w:rPr>
      </w:pPr>
      <w:r>
        <w:t xml:space="preserve">Pattern 3: In-Context Stuck-Point Recovery</w:t>
      </w:r>
    </w:p>
    <w:p>
      <w:pPr>
        <w:spacing w:after="140" w:before="0" w:line="276"/>
        <w:jc w:val="left"/>
      </w:pPr>
      <w:r>
        <w:rPr>
          <w:rFonts w:ascii="Calibri" w:cs="Calibri" w:eastAsia="Calibri" w:hAnsi="Calibri"/>
          <w:b w:val="false"/>
          <w:bCs w:val="false"/>
          <w:color w:val="1A1A1A"/>
          <w:sz w:val="24"/>
          <w:szCs w:val="24"/>
        </w:rPr>
        <w:t xml:space="preserve">Short description. DataCamp, Brilliant, and Khan Academy keep learners inside the task when they are wrong or confused.</w:t>
      </w:r>
    </w:p>
    <w:p>
      <w:pPr>
        <w:spacing w:after="140" w:before="0" w:line="276"/>
        <w:jc w:val="left"/>
      </w:pPr>
      <w:r>
        <w:rPr>
          <w:rFonts w:ascii="Calibri" w:cs="Calibri" w:eastAsia="Calibri" w:hAnsi="Calibri"/>
          <w:b w:val="false"/>
          <w:bCs w:val="false"/>
          <w:color w:val="1A1A1A"/>
          <w:sz w:val="24"/>
          <w:szCs w:val="24"/>
        </w:rPr>
        <w:t xml:space="preserve">Key findings. DataCamp uses priced hints and show-answer escalation (`../2026-07-03-datacamp-learning-experience/platforms/datacamp/screenshots/05-hint-scaffolding-xp-cost.png`). Brilliant positions Koji as an in-lesson companion, though the full tutor behavior is not fully observable from the captured evidence (`../2026-07-02-briliant/assets/ai-companion-1.png`). Khan Academy withholds the answer, asks the learner to try again, and offers graduated hints plus related video (`../2026-07-06-benchmark-learning-effectiveness-loops/platforms/khan-academy/screenshots/04-graduated-hint-and-video.png`). The user asks for or receives help in the same task context, and the system escalates support instead of sending them away.</w:t>
      </w:r>
    </w:p>
    <w:p>
      <w:pPr>
        <w:spacing w:after="140" w:before="0" w:line="276"/>
        <w:jc w:val="left"/>
      </w:pPr>
      <w:r>
        <w:rPr>
          <w:rFonts w:ascii="Calibri" w:cs="Calibri" w:eastAsia="Calibri" w:hAnsi="Calibri"/>
          <w:b w:val="false"/>
          <w:bCs w:val="false"/>
          <w:color w:val="1A1A1A"/>
          <w:sz w:val="24"/>
          <w:szCs w:val="24"/>
        </w:rPr>
        <w:t xml:space="preserve">Why this feature works. The most important churn moment in self-paced learning is being stuck with no path forward. The design challenge is help titration: enough support to recover, not so much that the learner clears tasks without learning.</w:t>
      </w:r>
    </w:p>
    <w:p>
      <w:pPr>
        <w:spacing w:after="140" w:before="0" w:line="276"/>
        <w:jc w:val="left"/>
      </w:pPr>
      <w:r>
        <w:rPr>
          <w:rFonts w:ascii="Calibri" w:cs="Calibri" w:eastAsia="Calibri" w:hAnsi="Calibri"/>
          <w:b w:val="false"/>
          <w:bCs w:val="false"/>
          <w:color w:val="1A1A1A"/>
          <w:sz w:val="24"/>
          <w:szCs w:val="24"/>
        </w:rPr>
        <w:t xml:space="preserve">How to validate. Instrument wrong-answer events. Measure hint use, hint-to-answer escalation, recovery to next attempt, abandonment, and delayed retention for heavy-help versus light-help learners.</w:t>
      </w:r>
    </w:p>
    <w:p>
      <w:pPr>
        <w:pStyle w:val="Heading2"/>
        <w:spacing w:after="100" w:before="280"/>
        <w:rPr>
          <w:rFonts w:ascii="Calibri" w:cs="Calibri" w:eastAsia="Calibri" w:hAnsi="Calibri"/>
          <w:b/>
          <w:bCs/>
          <w:color w:val="222222"/>
          <w:sz w:val="30"/>
          <w:szCs w:val="30"/>
        </w:rPr>
      </w:pPr>
      <w:r>
        <w:t xml:space="preserve">Pattern 4: Feedback That Teaches</w:t>
      </w:r>
    </w:p>
    <w:p>
      <w:pPr>
        <w:spacing w:after="140" w:before="0" w:line="276"/>
        <w:jc w:val="left"/>
      </w:pPr>
      <w:r>
        <w:rPr>
          <w:rFonts w:ascii="Calibri" w:cs="Calibri" w:eastAsia="Calibri" w:hAnsi="Calibri"/>
          <w:b w:val="false"/>
          <w:bCs w:val="false"/>
          <w:color w:val="1A1A1A"/>
          <w:sz w:val="24"/>
          <w:szCs w:val="24"/>
        </w:rPr>
        <w:t xml:space="preserve">Short description. Busuu and Khan Academy show that feedback should be an instructional surface, not just a correctness marker.</w:t>
      </w:r>
    </w:p>
    <w:p>
      <w:pPr>
        <w:spacing w:after="140" w:before="0" w:line="276"/>
        <w:jc w:val="left"/>
      </w:pPr>
      <w:r>
        <w:rPr>
          <w:rFonts w:ascii="Calibri" w:cs="Calibri" w:eastAsia="Calibri" w:hAnsi="Calibri"/>
          <w:b w:val="false"/>
          <w:bCs w:val="false"/>
          <w:color w:val="1A1A1A"/>
          <w:sz w:val="24"/>
          <w:szCs w:val="24"/>
        </w:rPr>
        <w:t xml:space="preserve">Key findings. Busuu's wrong-answer feedback shows the correct sentence, replayable audio, and a plain-language rule (`../2026-07-03-busuu-learning-experience/platforms/busuu/screenshots/04-incorrect-answer-feedback.png`). Khan Academy's wrong-answer flow offers step-by-step hints and related teaching content (`../2026-07-06-benchmark-learning-effectiveness-loops/platforms/khan-academy/screenshots/03-incorrect-feedback.png`). The user sees what went wrong, gets an actionable path, and the system keeps the learner in productive struggle.</w:t>
      </w:r>
    </w:p>
    <w:p>
      <w:pPr>
        <w:spacing w:after="140" w:before="0" w:line="276"/>
        <w:jc w:val="left"/>
      </w:pPr>
      <w:r>
        <w:rPr>
          <w:rFonts w:ascii="Calibri" w:cs="Calibri" w:eastAsia="Calibri" w:hAnsi="Calibri"/>
          <w:b w:val="false"/>
          <w:bCs w:val="false"/>
          <w:color w:val="1A1A1A"/>
          <w:sz w:val="24"/>
          <w:szCs w:val="24"/>
        </w:rPr>
        <w:t xml:space="preserve">Why this feature works. Feedback is where grading becomes learning. For solve.education, this is a direct route to better skill formation and better evidence of learning quality. It is the highest-confidence pattern in this benchmark, pending domain transfer validation.</w:t>
      </w:r>
    </w:p>
    <w:p>
      <w:pPr>
        <w:spacing w:after="140" w:before="0" w:line="276"/>
        <w:jc w:val="left"/>
      </w:pPr>
      <w:r>
        <w:rPr>
          <w:rFonts w:ascii="Calibri" w:cs="Calibri" w:eastAsia="Calibri" w:hAnsi="Calibri"/>
          <w:b w:val="false"/>
          <w:bCs w:val="false"/>
          <w:color w:val="1A1A1A"/>
          <w:sz w:val="24"/>
          <w:szCs w:val="24"/>
        </w:rPr>
        <w:t xml:space="preserve">How to validate. Compare rich instructional feedback against bare red/green feedback. Measure next-attempt accuracy, delayed retrieval, and whether learners can explain the correction.</w:t>
      </w:r>
    </w:p>
    <w:p>
      <w:pPr>
        <w:pStyle w:val="Heading2"/>
        <w:spacing w:after="100" w:before="280"/>
        <w:rPr>
          <w:rFonts w:ascii="Calibri" w:cs="Calibri" w:eastAsia="Calibri" w:hAnsi="Calibri"/>
          <w:b/>
          <w:bCs/>
          <w:color w:val="222222"/>
          <w:sz w:val="30"/>
          <w:szCs w:val="30"/>
        </w:rPr>
      </w:pPr>
      <w:r>
        <w:t xml:space="preserve">Pattern 5: Mastery Signals That Mean Something</w:t>
      </w:r>
    </w:p>
    <w:p>
      <w:pPr>
        <w:spacing w:after="140" w:before="0" w:line="276"/>
        <w:jc w:val="left"/>
      </w:pPr>
      <w:r>
        <w:rPr>
          <w:rFonts w:ascii="Calibri" w:cs="Calibri" w:eastAsia="Calibri" w:hAnsi="Calibri"/>
          <w:b w:val="false"/>
          <w:bCs w:val="false"/>
          <w:color w:val="1A1A1A"/>
          <w:sz w:val="24"/>
          <w:szCs w:val="24"/>
        </w:rPr>
        <w:t xml:space="preserve">Short description. Khan Academy's strongest move is making progress depend on accuracy, not only completion.</w:t>
      </w:r>
    </w:p>
    <w:p>
      <w:pPr>
        <w:spacing w:after="140" w:before="0" w:line="276"/>
        <w:jc w:val="left"/>
      </w:pPr>
      <w:r>
        <w:rPr>
          <w:rFonts w:ascii="Calibri" w:cs="Calibri" w:eastAsia="Calibri" w:hAnsi="Calibri"/>
          <w:b w:val="false"/>
          <w:bCs w:val="false"/>
          <w:color w:val="1A1A1A"/>
          <w:sz w:val="24"/>
          <w:szCs w:val="24"/>
        </w:rPr>
        <w:t xml:space="preserve">Key findings. Khan Academy shows per-skill mastery states, a color grid, points, and an accuracy gate that blocks "Proficient" after two mistakes (`../2026-07-06-benchmark-learning-effectiveness-loops/platforms/khan-academy/screenshots/06-mastery-gate-modal.png`). The user sees a progress state, attempts the set, and the system updates mastery based on correctness (`../2026-07-06-benchmark-learning-effectiveness-loops/platforms/khan-academy/screenshots/07-skill-summary-mastery.png`). DataCamp and Busuu also use XP, stars, score, and progress, but those are less clearly tied to mastery.</w:t>
      </w:r>
    </w:p>
    <w:p>
      <w:pPr>
        <w:spacing w:after="140" w:before="0" w:line="276"/>
        <w:jc w:val="left"/>
      </w:pPr>
      <w:r>
        <w:rPr>
          <w:rFonts w:ascii="Calibri" w:cs="Calibri" w:eastAsia="Calibri" w:hAnsi="Calibri"/>
          <w:b w:val="false"/>
          <w:bCs w:val="false"/>
          <w:color w:val="1A1A1A"/>
          <w:sz w:val="24"/>
          <w:szCs w:val="24"/>
        </w:rPr>
        <w:t xml:space="preserve">Why this feature works. If the progress signal is credible, learners and teams may be able to trust it as a proxy for ability after delayed and transfer validation. For solve.education, the key is to connect mastery signals to potential hireability evidence, not just engagement.</w:t>
      </w:r>
    </w:p>
    <w:p>
      <w:pPr>
        <w:spacing w:after="140" w:before="0" w:line="276"/>
        <w:jc w:val="left"/>
      </w:pPr>
      <w:r>
        <w:rPr>
          <w:rFonts w:ascii="Calibri" w:cs="Calibri" w:eastAsia="Calibri" w:hAnsi="Calibri"/>
          <w:b w:val="false"/>
          <w:bCs w:val="false"/>
          <w:color w:val="1A1A1A"/>
          <w:sz w:val="24"/>
          <w:szCs w:val="24"/>
        </w:rPr>
        <w:t xml:space="preserve">How to validate. Compare accuracy-gated mastery against completion-based progress. Use delayed unaided tests and job-relevant transfer tasks as the primary validation metrics.</w:t>
      </w:r>
    </w:p>
    <w:p>
      <w:pPr>
        <w:pStyle w:val="Heading2"/>
        <w:spacing w:after="100" w:before="280"/>
        <w:rPr>
          <w:rFonts w:ascii="Calibri" w:cs="Calibri" w:eastAsia="Calibri" w:hAnsi="Calibri"/>
          <w:b/>
          <w:bCs/>
          <w:color w:val="222222"/>
          <w:sz w:val="30"/>
          <w:szCs w:val="30"/>
        </w:rPr>
      </w:pPr>
      <w:r>
        <w:t xml:space="preserve">Pattern 6: Return Loops With Guardrails</w:t>
      </w:r>
    </w:p>
    <w:p>
      <w:pPr>
        <w:spacing w:after="140" w:before="0" w:line="276"/>
        <w:jc w:val="left"/>
      </w:pPr>
      <w:r>
        <w:rPr>
          <w:rFonts w:ascii="Calibri" w:cs="Calibri" w:eastAsia="Calibri" w:hAnsi="Calibri"/>
          <w:b w:val="false"/>
          <w:bCs w:val="false"/>
          <w:color w:val="1A1A1A"/>
          <w:sz w:val="24"/>
          <w:szCs w:val="24"/>
        </w:rPr>
        <w:t xml:space="preserve">Short description. DataCamp and Busuu use XP, streaks, challenges, leaderboards, and recap moments to pull learners back.</w:t>
      </w:r>
    </w:p>
    <w:p>
      <w:pPr>
        <w:spacing w:after="140" w:before="0" w:line="276"/>
        <w:jc w:val="left"/>
      </w:pPr>
      <w:r>
        <w:rPr>
          <w:rFonts w:ascii="Calibri" w:cs="Calibri" w:eastAsia="Calibri" w:hAnsi="Calibri"/>
          <w:b w:val="false"/>
          <w:bCs w:val="false"/>
          <w:color w:val="1A1A1A"/>
          <w:sz w:val="24"/>
          <w:szCs w:val="24"/>
        </w:rPr>
        <w:t xml:space="preserve">Key findings. DataCamp uses XP, daily streaks, Bit League, and an AI recap (`../2026-07-03-datacamp-learning-experience/platforms/datacamp/screenshots/08-leaderboard-bit-league.png`). Busuu uses stars, score, daily challenges, streaks, and a weekly league (`../2026-07-03-busuu-learning-experience/platforms/busuu/screenshots/10-todays-challenges.png`). Khan Academy adds energy points and summary rewards (`../2026-07-06-benchmark-learning-effectiveness-loops/platforms/khan-academy/screenshots/07-skill-summary-mastery.png`). The user sees momentum and a reason to return, while the system wraps learning in habit mechanics. Busuu's community correction is promising, but the receiving side and correction quality were not observed.</w:t>
      </w:r>
    </w:p>
    <w:p>
      <w:pPr>
        <w:spacing w:after="140" w:before="0" w:line="276"/>
        <w:jc w:val="left"/>
      </w:pPr>
      <w:r>
        <w:rPr>
          <w:rFonts w:ascii="Calibri" w:cs="Calibri" w:eastAsia="Calibri" w:hAnsi="Calibri"/>
          <w:b w:val="false"/>
          <w:bCs w:val="false"/>
          <w:color w:val="1A1A1A"/>
          <w:sz w:val="24"/>
          <w:szCs w:val="24"/>
        </w:rPr>
        <w:t xml:space="preserve">Why this feature works. Learning often fails on consistency. The risk is hollow engagement: points can reward activity without proof of competence.</w:t>
      </w:r>
    </w:p>
    <w:p>
      <w:pPr>
        <w:spacing w:after="140" w:before="0" w:line="276"/>
        <w:jc w:val="left"/>
      </w:pPr>
      <w:r>
        <w:rPr>
          <w:rFonts w:ascii="Calibri" w:cs="Calibri" w:eastAsia="Calibri" w:hAnsi="Calibri"/>
          <w:b w:val="false"/>
          <w:bCs w:val="false"/>
          <w:color w:val="1A1A1A"/>
          <w:sz w:val="24"/>
          <w:szCs w:val="24"/>
        </w:rPr>
        <w:t xml:space="preserve">How to validate. Track D1, D7, and D30 retention, but pair them with mastery gain, delayed retrieval, and transfer. Segment leaderboards for demotivation among lower-ranked learners.</w:t>
      </w:r>
    </w:p>
    <w:p>
      <w:pPr>
        <w:pStyle w:val="Heading2"/>
        <w:spacing w:after="100" w:before="280"/>
        <w:rPr>
          <w:rFonts w:ascii="Calibri" w:cs="Calibri" w:eastAsia="Calibri" w:hAnsi="Calibri"/>
          <w:b/>
          <w:bCs/>
          <w:color w:val="222222"/>
          <w:sz w:val="30"/>
          <w:szCs w:val="30"/>
        </w:rPr>
      </w:pPr>
      <w:r>
        <w:t xml:space="preserve">Prioritized Research Recommendation</w:t>
      </w:r>
    </w:p>
    <w:p>
      <w:pPr>
        <w:spacing w:after="140" w:before="0" w:line="276"/>
        <w:jc w:val="left"/>
      </w:pPr>
      <w:r>
        <w:rPr>
          <w:rFonts w:ascii="Calibri" w:cs="Calibri" w:eastAsia="Calibri" w:hAnsi="Calibri"/>
          <w:b w:val="false"/>
          <w:bCs w:val="false"/>
          <w:color w:val="1A1A1A"/>
          <w:sz w:val="24"/>
          <w:szCs w:val="24"/>
        </w:rPr>
        <w:t xml:space="preserve">The strongest near-term opportunity is not "build an AI tutor." It is to design a learn-to-hire loop where every practice task creates recoverable evidence: attempt, feedback, correction, mastery state, and next step. AI can help inside that loop, but the loop architecture should come first.</w:t>
      </w:r>
    </w:p>
    <w:p>
      <w:pPr>
        <w:spacing w:after="140" w:before="0" w:line="276"/>
        <w:jc w:val="left"/>
      </w:pPr>
      <w:r>
        <w:rPr>
          <w:rFonts w:ascii="Calibri" w:cs="Calibri" w:eastAsia="Calibri" w:hAnsi="Calibri"/>
          <w:b w:val="false"/>
          <w:bCs w:val="false"/>
          <w:color w:val="1A1A1A"/>
          <w:sz w:val="24"/>
          <w:szCs w:val="24"/>
        </w:rPr>
        <w:t xml:space="preserve">Recommended order and status:</w:t>
      </w:r>
    </w:p>
    <w:p>
      <w:pPr>
        <w:spacing w:after="140" w:before="0" w:line="276"/>
        <w:jc w:val="left"/>
      </w:pPr>
      <w:r>
        <w:rPr>
          <w:rFonts w:ascii="Calibri" w:cs="Calibri" w:eastAsia="Calibri" w:hAnsi="Calibri"/>
          <w:b w:val="false"/>
          <w:bCs w:val="false"/>
          <w:color w:val="1A1A1A"/>
          <w:sz w:val="24"/>
          <w:szCs w:val="24"/>
        </w:rPr>
        <w:t xml:space="preserve">1. Learn-by-doing task surface with instructional feedback: adapt now in a narrow prototype.</w:t>
      </w:r>
    </w:p>
    <w:p>
      <w:pPr>
        <w:spacing w:after="140" w:before="0" w:line="276"/>
        <w:jc w:val="left"/>
      </w:pPr>
      <w:r>
        <w:rPr>
          <w:rFonts w:ascii="Calibri" w:cs="Calibri" w:eastAsia="Calibri" w:hAnsi="Calibri"/>
          <w:b w:val="false"/>
          <w:bCs w:val="false"/>
          <w:color w:val="1A1A1A"/>
          <w:sz w:val="24"/>
          <w:szCs w:val="24"/>
        </w:rPr>
        <w:t xml:space="preserve">2. Stuck-point recovery through graduated hints or tutor support: prototype-test.</w:t>
      </w:r>
    </w:p>
    <w:p>
      <w:pPr>
        <w:spacing w:after="140" w:before="0" w:line="276"/>
        <w:jc w:val="left"/>
      </w:pPr>
      <w:r>
        <w:rPr>
          <w:rFonts w:ascii="Calibri" w:cs="Calibri" w:eastAsia="Calibri" w:hAnsi="Calibri"/>
          <w:b w:val="false"/>
          <w:bCs w:val="false"/>
          <w:color w:val="1A1A1A"/>
          <w:sz w:val="24"/>
          <w:szCs w:val="24"/>
        </w:rPr>
        <w:t xml:space="preserve">3. Mastery state tied to accuracy and independent performance: prototype-test before external claims.</w:t>
      </w:r>
    </w:p>
    <w:p>
      <w:pPr>
        <w:spacing w:after="140" w:before="0" w:line="276"/>
        <w:jc w:val="left"/>
      </w:pPr>
      <w:r>
        <w:rPr>
          <w:rFonts w:ascii="Calibri" w:cs="Calibri" w:eastAsia="Calibri" w:hAnsi="Calibri"/>
          <w:b w:val="false"/>
          <w:bCs w:val="false"/>
          <w:color w:val="1A1A1A"/>
          <w:sz w:val="24"/>
          <w:szCs w:val="24"/>
        </w:rPr>
        <w:t xml:space="preserve">4. Goal-to-first-task activation: prototype-test.</w:t>
      </w:r>
    </w:p>
    <w:p>
      <w:pPr>
        <w:spacing w:after="140" w:before="0" w:line="276"/>
        <w:jc w:val="left"/>
      </w:pPr>
      <w:r>
        <w:rPr>
          <w:rFonts w:ascii="Calibri" w:cs="Calibri" w:eastAsia="Calibri" w:hAnsi="Calibri"/>
          <w:b w:val="false"/>
          <w:bCs w:val="false"/>
          <w:color w:val="1A1A1A"/>
          <w:sz w:val="24"/>
          <w:szCs w:val="24"/>
        </w:rPr>
        <w:t xml:space="preserve">5. Retention mechanics: monitor or prototype after learning quality metrics are in place.</w:t>
      </w:r>
    </w:p>
    <w:p>
      <w:pPr>
        <w:pStyle w:val="Heading2"/>
        <w:spacing w:after="100" w:before="280"/>
        <w:rPr>
          <w:rFonts w:ascii="Calibri" w:cs="Calibri" w:eastAsia="Calibri" w:hAnsi="Calibri"/>
          <w:b/>
          <w:bCs/>
          <w:color w:val="222222"/>
          <w:sz w:val="30"/>
          <w:szCs w:val="30"/>
        </w:rPr>
      </w:pPr>
      <w:r>
        <w:t xml:space="preserve">Functional Requirement Recommendations</w:t>
      </w:r>
    </w:p>
    <w:p>
      <w:pPr>
        <w:pStyle w:val="ListParagraph"/>
        <w:numPr>
          <w:ilvl w:val="0"/>
          <w:numId w:val="1"/>
        </w:numPr>
        <w:spacing w:after="140" w:before="0" w:line="276"/>
        <w:jc w:val="left"/>
      </w:pPr>
      <w:r>
        <w:rPr>
          <w:rFonts w:ascii="Calibri" w:cs="Calibri" w:eastAsia="Calibri" w:hAnsi="Calibri"/>
          <w:b w:val="false"/>
          <w:bCs w:val="false"/>
          <w:color w:val="1A1A1A"/>
          <w:sz w:val="24"/>
          <w:szCs w:val="24"/>
        </w:rPr>
        <w:t xml:space="preserve">FR1. Goal-to-task routing: let a learner state a goal and receive one recommended starting task with rationale, difficulty signal, and direct start action.</w:t>
      </w:r>
    </w:p>
    <w:p>
      <w:pPr>
        <w:pStyle w:val="ListParagraph"/>
        <w:numPr>
          <w:ilvl w:val="0"/>
          <w:numId w:val="1"/>
        </w:numPr>
        <w:spacing w:after="140" w:before="0" w:line="276"/>
        <w:jc w:val="left"/>
      </w:pPr>
      <w:r>
        <w:rPr>
          <w:rFonts w:ascii="Calibri" w:cs="Calibri" w:eastAsia="Calibri" w:hAnsi="Calibri"/>
          <w:b w:val="false"/>
          <w:bCs w:val="false"/>
          <w:color w:val="1A1A1A"/>
          <w:sz w:val="24"/>
          <w:szCs w:val="24"/>
        </w:rPr>
        <w:t xml:space="preserve">FR2. Active task workspace: provide a zero-setup task surface where learners can attempt, submit, retry, and produce observable work or answers.</w:t>
      </w:r>
    </w:p>
    <w:p>
      <w:pPr>
        <w:pStyle w:val="ListParagraph"/>
        <w:numPr>
          <w:ilvl w:val="0"/>
          <w:numId w:val="1"/>
        </w:numPr>
        <w:spacing w:after="140" w:before="0" w:line="276"/>
        <w:jc w:val="left"/>
      </w:pPr>
      <w:r>
        <w:rPr>
          <w:rFonts w:ascii="Calibri" w:cs="Calibri" w:eastAsia="Calibri" w:hAnsi="Calibri"/>
          <w:b w:val="false"/>
          <w:bCs w:val="false"/>
          <w:color w:val="1A1A1A"/>
          <w:sz w:val="24"/>
          <w:szCs w:val="24"/>
        </w:rPr>
        <w:t xml:space="preserve">FR3. Instructional feedback: return feedback that explains the correction, shows the right form or next step, and routes the learner into another attempt.</w:t>
      </w:r>
    </w:p>
    <w:p>
      <w:pPr>
        <w:pStyle w:val="ListParagraph"/>
        <w:numPr>
          <w:ilvl w:val="0"/>
          <w:numId w:val="1"/>
        </w:numPr>
        <w:spacing w:after="140" w:before="0" w:line="276"/>
        <w:jc w:val="left"/>
      </w:pPr>
      <w:r>
        <w:rPr>
          <w:rFonts w:ascii="Calibri" w:cs="Calibri" w:eastAsia="Calibri" w:hAnsi="Calibri"/>
          <w:b w:val="false"/>
          <w:bCs w:val="false"/>
          <w:color w:val="1A1A1A"/>
          <w:sz w:val="24"/>
          <w:szCs w:val="24"/>
        </w:rPr>
        <w:t xml:space="preserve">FR4. Graduated help: offer escalating help levels, starting with hints before answer reveal or tutor intervention, and log each help event.</w:t>
      </w:r>
    </w:p>
    <w:p>
      <w:pPr>
        <w:pStyle w:val="ListParagraph"/>
        <w:numPr>
          <w:ilvl w:val="0"/>
          <w:numId w:val="1"/>
        </w:numPr>
        <w:spacing w:after="140" w:before="0" w:line="276"/>
        <w:jc w:val="left"/>
      </w:pPr>
      <w:r>
        <w:rPr>
          <w:rFonts w:ascii="Calibri" w:cs="Calibri" w:eastAsia="Calibri" w:hAnsi="Calibri"/>
          <w:b w:val="false"/>
          <w:bCs w:val="false"/>
          <w:color w:val="1A1A1A"/>
          <w:sz w:val="24"/>
          <w:szCs w:val="24"/>
        </w:rPr>
        <w:t xml:space="preserve">FR5. Accuracy-gated mastery: update mastery based on accuracy and independent performance, not only completion.</w:t>
      </w:r>
    </w:p>
    <w:p>
      <w:pPr>
        <w:pStyle w:val="ListParagraph"/>
        <w:numPr>
          <w:ilvl w:val="0"/>
          <w:numId w:val="1"/>
        </w:numPr>
        <w:spacing w:after="140" w:before="0" w:line="276"/>
        <w:jc w:val="left"/>
      </w:pPr>
      <w:r>
        <w:rPr>
          <w:rFonts w:ascii="Calibri" w:cs="Calibri" w:eastAsia="Calibri" w:hAnsi="Calibri"/>
          <w:b w:val="false"/>
          <w:bCs w:val="false"/>
          <w:color w:val="1A1A1A"/>
          <w:sz w:val="24"/>
          <w:szCs w:val="24"/>
        </w:rPr>
        <w:t xml:space="preserve">FR6. Evidence trail: preserve an auditable trail of attempts, feedback, retries, hint usage, mastery updates, and final task outcomes.</w:t>
      </w:r>
    </w:p>
    <w:p>
      <w:pPr>
        <w:pStyle w:val="ListParagraph"/>
        <w:numPr>
          <w:ilvl w:val="0"/>
          <w:numId w:val="1"/>
        </w:numPr>
        <w:spacing w:after="140" w:before="0" w:line="276"/>
        <w:jc w:val="left"/>
      </w:pPr>
      <w:r>
        <w:rPr>
          <w:rFonts w:ascii="Calibri" w:cs="Calibri" w:eastAsia="Calibri" w:hAnsi="Calibri"/>
          <w:b w:val="false"/>
          <w:bCs w:val="false"/>
          <w:color w:val="1A1A1A"/>
          <w:sz w:val="24"/>
          <w:szCs w:val="24"/>
        </w:rPr>
        <w:t xml:space="preserve">FR7. Return prompts: bring learners back through recaps, streaks, challenges, or next-step prompts that point to meaningful practice.</w:t>
      </w:r>
    </w:p>
    <w:p>
      <w:pPr>
        <w:pStyle w:val="ListParagraph"/>
        <w:numPr>
          <w:ilvl w:val="0"/>
          <w:numId w:val="1"/>
        </w:numPr>
        <w:spacing w:after="140" w:before="0" w:line="276"/>
        <w:jc w:val="left"/>
      </w:pPr>
      <w:r>
        <w:rPr>
          <w:rFonts w:ascii="Calibri" w:cs="Calibri" w:eastAsia="Calibri" w:hAnsi="Calibri"/>
          <w:b w:val="false"/>
          <w:bCs w:val="false"/>
          <w:color w:val="1A1A1A"/>
          <w:sz w:val="24"/>
          <w:szCs w:val="24"/>
        </w:rPr>
        <w:t xml:space="preserve">FR8. Validation instrumentation: track recommendation acceptance, task starts, submissions, wrong answers, feedback exposure, retries, hint escalation, mastery changes, and return behavior.</w:t>
      </w:r>
    </w:p>
    <w:p>
      <w:pPr>
        <w:pStyle w:val="Heading2"/>
        <w:spacing w:after="100" w:before="280"/>
        <w:rPr>
          <w:rFonts w:ascii="Calibri" w:cs="Calibri" w:eastAsia="Calibri" w:hAnsi="Calibri"/>
          <w:b/>
          <w:bCs/>
          <w:color w:val="222222"/>
          <w:sz w:val="30"/>
          <w:szCs w:val="30"/>
        </w:rPr>
      </w:pPr>
      <w:r>
        <w:t xml:space="preserve">Gaps And Caveats</w:t>
      </w:r>
    </w:p>
    <w:p>
      <w:pPr>
        <w:spacing w:after="140" w:before="0" w:line="276"/>
        <w:jc w:val="left"/>
      </w:pPr>
      <w:r>
        <w:rPr>
          <w:rFonts w:ascii="Calibri" w:cs="Calibri" w:eastAsia="Calibri" w:hAnsi="Calibri"/>
          <w:b w:val="false"/>
          <w:bCs w:val="false"/>
          <w:color w:val="1A1A1A"/>
          <w:sz w:val="24"/>
          <w:szCs w:val="24"/>
        </w:rPr>
        <w:t xml:space="preserve">This is a benchmark synthesis from existing artifacts, not a new user study. Several AI and community surfaces were partly paywalled, inferred, or observed only from entry points. Google Drive links in the CSV were attempted, but Drive returned sign-in HTML, so the report uses local artifact equivalents and keeps Drive links as source references. No competitor analytics, learner outcomes, or retention data were available.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2026-07-09T04:46:25.265Z</dcterms:created>
  <dcterms:modified xsi:type="dcterms:W3CDTF">2026-07-09T04:46:25.265Z</dcterms:modified>
</cp:coreProperties>
</file>

<file path=docProps/custom.xml><?xml version="1.0" encoding="utf-8"?>
<Properties xmlns="http://schemas.openxmlformats.org/officeDocument/2006/custom-properties" xmlns:vt="http://schemas.openxmlformats.org/officeDocument/2006/docPropsVTypes"/>
</file>