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003366"/>
          <w:sz w:val="32"/>
          <w:szCs w:val="32"/>
        </w:rPr>
        <w:t xml:space="preserve">MEMORIAL DESCRITIVO &amp; BRIEFING TÉCNICO DE INVENÇÃO</w:t>
      </w:r>
    </w:p>
    <w:p>
      <w:pPr>
        <w:spacing w:after="360"/>
        <w:jc w:val="center"/>
      </w:pPr>
      <w:r>
        <w:rPr>
          <w:b/>
          <w:bCs/>
          <w:color w:val="64748B"/>
          <w:sz w:val="20"/>
          <w:szCs w:val="20"/>
        </w:rPr>
        <w:t xml:space="preserve">DOCUMENTO BASE PARA REGISTRO DE PATENTE / PROGRAMA DE COMPUTADOR E DEFINIÇÃO DE MARCA</w:t>
      </w:r>
    </w:p>
    <w:p>
      <w:pPr>
        <w:spacing w:after="280"/>
      </w:pPr>
      <w:r>
        <w:rPr>
          <w:color w:val="CBD5E1"/>
        </w:rPr>
        <w:t xml:space="preserve">_________________________________________________________________________________</w:t>
      </w:r>
    </w:p>
    <w:p>
      <w:pPr>
        <w:pStyle w:val="Heading1"/>
        <w:spacing w:after="160" w:before="240"/>
      </w:pPr>
      <w:r>
        <w:rPr>
          <w:b/>
          <w:bCs/>
          <w:color w:val="003366"/>
          <w:sz w:val="26"/>
          <w:szCs w:val="26"/>
        </w:rPr>
        <w:t xml:space="preserve">1. DADOS DE IDENTIFICAÇÃO E ENQUADRAMENTO LEGAL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c>
          <w:tcPr>
            <w:tcW w:type="pct" w:w="1500"/>
            <w:shd w:fill="F8FAFC" w:val="clear"/>
          </w:tcPr>
          <w:p>
            <w:r>
              <w:rPr>
                <w:b/>
                <w:bCs/>
                <w:color w:val="1E293B"/>
              </w:rPr>
              <w:t xml:space="preserve">Natureza do Ativo</w:t>
            </w:r>
          </w:p>
        </w:tc>
        <w:tc>
          <w:tcPr>
            <w:tcW w:type="pct" w:w="3500"/>
          </w:tcPr>
          <w:p>
            <w:r>
              <w:t xml:space="preserve">Programa de Computador (Software) com Aplicação e Método Industrial Aplicado.</w:t>
            </w:r>
          </w:p>
        </w:tc>
      </w:tr>
      <w:tr>
        <w:tc>
          <w:tcPr>
            <w:tcW w:type="pct" w:w="1500"/>
            <w:shd w:fill="F8FAFC" w:val="clear"/>
          </w:tcPr>
          <w:p>
            <w:r>
              <w:rPr>
                <w:b/>
                <w:bCs/>
                <w:color w:val="1E293B"/>
              </w:rPr>
              <w:t xml:space="preserve">Segmento Tecnológico</w:t>
            </w:r>
          </w:p>
        </w:tc>
        <w:tc>
          <w:tcPr>
            <w:tcW w:type="pct" w:w="3500"/>
          </w:tcPr>
          <w:p>
            <w:r>
              <w:t xml:space="preserve">Segurança e Saúde no Trabalho (SST), Engenharia Ocupacional e Tecnologia de Homologação de EPIs.</w:t>
            </w:r>
          </w:p>
        </w:tc>
      </w:tr>
      <w:tr>
        <w:tc>
          <w:tcPr>
            <w:tcW w:type="pct" w:w="1500"/>
            <w:shd w:fill="F8FAFC" w:val="clear"/>
          </w:tcPr>
          <w:p>
            <w:r>
              <w:rPr>
                <w:b/>
                <w:bCs/>
                <w:color w:val="1E293B"/>
              </w:rPr>
              <w:t xml:space="preserve">Base Normativa (Brasil)</w:t>
            </w:r>
          </w:p>
        </w:tc>
        <w:tc>
          <w:tcPr>
            <w:tcW w:type="pct" w:w="3500"/>
          </w:tcPr>
          <w:p>
            <w:r>
              <w:t xml:space="preserve">Lei de Propriedade Industrial (Lei nº 9.279/1996) e Lei de Proteção de Programa de Computador (Lei nº 9.609/1998).</w:t>
            </w:r>
          </w:p>
        </w:tc>
      </w:tr>
      <w:tr>
        <w:tc>
          <w:tcPr>
            <w:tcW w:type="pct" w:w="1500"/>
            <w:shd w:fill="F8FAFC" w:val="clear"/>
          </w:tcPr>
          <w:p>
            <w:r>
              <w:rPr>
                <w:b/>
                <w:bCs/>
                <w:color w:val="1E293B"/>
              </w:rPr>
              <w:t xml:space="preserve">Classificação IPC</w:t>
            </w:r>
          </w:p>
        </w:tc>
        <w:tc>
          <w:tcPr>
            <w:tcW w:type="pct" w:w="3500"/>
          </w:tcPr>
          <w:p>
            <w:r>
              <w:t xml:space="preserve">G06Q 10/06 (Auditoria e Operações), G06Q 50/04 (Manufatura/Segurança) e G06F 21/64 (Integridade e Assinaturas).</w:t>
            </w:r>
          </w:p>
        </w:tc>
      </w:tr>
    </w:tbl>
    <w:p>
      <w:pPr>
        <w:pStyle w:val="Heading1"/>
        <w:spacing w:after="160" w:before="360"/>
      </w:pPr>
      <w:r>
        <w:rPr>
          <w:b/>
          <w:bCs/>
          <w:color w:val="003366"/>
          <w:sz w:val="26"/>
          <w:szCs w:val="26"/>
        </w:rPr>
        <w:t xml:space="preserve">2. MEMORIAL DESCRITIVO DO PROBLEMA TÉCNICO RESOLVIDO</w:t>
      </w:r>
    </w:p>
    <w:p>
      <w:r>
        <w:t xml:space="preserve">No setor industrial e de proteção ocupacional, os processos de validação e substituição de Equipamentos de Proteção Individual (EPIs) sofrem de deficiências técnicas crônicas que impactam diretamente a segurança dos colaboradores e a eficiência financeira das plantas industriais:</w:t>
      </w:r>
    </w:p>
    <w:p>
      <w:pPr>
        <w:pStyle w:val="ListParagraph"/>
        <w:numPr>
          <w:ilvl w:val="0"/>
          <w:numId w:val="1"/>
        </w:numPr>
      </w:pPr>
      <w:r>
        <w:rPr>
          <w:b/>
          <w:bCs/>
          <w:color w:val="1E293B"/>
        </w:rPr>
        <w:t xml:space="preserve">Subjetividade e Fragmentação: </w:t>
      </w:r>
      <w:r>
        <w:t xml:space="preserve">Testes de campo de atenuação acústica, vedação respiratória e ergonomia são tradicionalmente registrados em cadernos ou planilhas isoladas, sem critérios matemáticos ponderados nem validação em tempo real com o Certificado de Aprovação (CA) emitido pelo Ministério do Trabalho e Emprego (MTE).</w:t>
      </w:r>
    </w:p>
    <w:p>
      <w:pPr>
        <w:pStyle w:val="ListParagraph"/>
        <w:numPr>
          <w:ilvl w:val="0"/>
          <w:numId w:val="1"/>
        </w:numPr>
      </w:pPr>
      <w:r>
        <w:rPr>
          <w:b/>
          <w:bCs/>
          <w:color w:val="1E293B"/>
        </w:rPr>
        <w:t xml:space="preserve">Miopia de Custo de Aquisição: </w:t>
      </w:r>
      <w:r>
        <w:t xml:space="preserve">A indústria comumente decide compras apenas pelo preço unitário de prateleira, desconsiderando a frequência de trocas por falha prematura, os custos logísticos de descarte de resíduos industriais perigosos (MTR) e o montante de lixo sólido gerado no meio ambiente.</w:t>
      </w:r>
    </w:p>
    <w:p>
      <w:pPr>
        <w:pStyle w:val="ListParagraph"/>
        <w:numPr>
          <w:ilvl w:val="0"/>
          <w:numId w:val="1"/>
        </w:numPr>
      </w:pPr>
      <w:r>
        <w:rPr>
          <w:b/>
          <w:bCs/>
          <w:color w:val="1E293B"/>
        </w:rPr>
        <w:t xml:space="preserve">Insegurança Jurídica e Risco de Vazamento: </w:t>
      </w:r>
      <w:r>
        <w:t xml:space="preserve">Laudos técnicos de campo carecem de aceite formal colhido diretamente no posto de trabalho. Simultaneamente, ferramentas convencionais não isolam as avaliações por técnico, expondo relatórios confidenciais entre técnicos que atendem plantas concorrentes.</w:t>
      </w:r>
    </w:p>
    <w:p>
      <w:pPr>
        <w:pStyle w:val="Heading1"/>
        <w:spacing w:after="160" w:before="360"/>
      </w:pPr>
      <w:r>
        <w:rPr>
          <w:b/>
          <w:bCs/>
          <w:color w:val="003366"/>
          <w:sz w:val="26"/>
          <w:szCs w:val="26"/>
        </w:rPr>
        <w:t xml:space="preserve">3. ARQUITETURA E CARACTERÍSTICAS TÉCNICAS DA INVENÇÃO</w:t>
      </w:r>
    </w:p>
    <w:p>
      <w:r>
        <w:t xml:space="preserve">A invenção consolida um ecossistema integrado suportado por quatro pilares tecnológicos proprietários:</w:t>
      </w:r>
    </w:p>
    <w:p>
      <w:pPr>
        <w:pStyle w:val="Heading2"/>
        <w:spacing w:after="100" w:before="200"/>
      </w:pPr>
      <w:r>
        <w:rPr>
          <w:b/>
          <w:bCs/>
          <w:color w:val="0284C7"/>
          <w:sz w:val="24"/>
          <w:szCs w:val="24"/>
        </w:rPr>
        <w:t xml:space="preserve">A. Motor de Confronto Técnico Parametrizado (1x1)</w:t>
      </w:r>
    </w:p>
    <w:p>
      <w:r>
        <w:t xml:space="preserve">Algoritmo proprietário de correlação direta entre o equipamento atualmente em uso (concorrente/incumbente) e a solução candidata à homologação. O motor processa matrizes de atributos ponderados: atenuação sonora (NRRsf), fatores de proteção respiratória atribuída (FMP), permeação química e ergonomia. O sistema classifica automaticamente o confronto entre </w:t>
      </w:r>
      <w:r>
        <w:rPr>
          <w:b/>
          <w:bCs/>
        </w:rPr>
        <w:t xml:space="preserve">Equivalência Direta</w:t>
      </w:r>
      <w:r>
        <w:t xml:space="preserve"> ou </w:t>
      </w:r>
      <w:r>
        <w:rPr>
          <w:b/>
          <w:bCs/>
        </w:rPr>
        <w:t xml:space="preserve">Upgrade Tecnológico</w:t>
      </w:r>
      <w:r>
        <w:t xml:space="preserve">, associando justificativa técnica auditável conectada ao banco oficial de CAs do MTE.</w:t>
      </w:r>
    </w:p>
    <w:p>
      <w:pPr>
        <w:pStyle w:val="Heading2"/>
        <w:spacing w:after="100" w:before="200"/>
      </w:pPr>
      <w:r>
        <w:rPr>
          <w:b/>
          <w:bCs/>
          <w:color w:val="0284C7"/>
          <w:sz w:val="24"/>
          <w:szCs w:val="24"/>
        </w:rPr>
        <w:t xml:space="preserve">B. Algoritmo de TCO, Eficiência Operacional e Pegada Ecológica (ESG)</w:t>
      </w:r>
    </w:p>
    <w:p>
      <w:r>
        <w:t xml:space="preserve">Equação de modelagem econômica multivariável que calcula o Custo Total de Posse (Total Cost of Ownership). Pondera a vida útil prática comprovada em campo versus vida útil nominal, quantificando o custo anual normalizado por colaborador. Incorpora de forma pioneira a </w:t>
      </w:r>
      <w:r>
        <w:rPr>
          <w:b/>
          <w:bCs/>
        </w:rPr>
        <w:t xml:space="preserve">Métrica Algorítmica de Redução de Resíduos Sólidos (Kg)</w:t>
      </w:r>
      <w:r>
        <w:t xml:space="preserve"> e economia com taxas de descarte industrial/MTR, correlacionando o ganho financeiro à governança ESG corporativa.</w:t>
      </w:r>
    </w:p>
    <w:p>
      <w:pPr>
        <w:pStyle w:val="Heading2"/>
        <w:spacing w:after="100" w:before="200"/>
      </w:pPr>
      <w:r>
        <w:rPr>
          <w:b/>
          <w:bCs/>
          <w:color w:val="0284C7"/>
          <w:sz w:val="24"/>
          <w:szCs w:val="24"/>
        </w:rPr>
        <w:t xml:space="preserve">C. Protocolo de Homologação com Coleta Vetorial Biométrica</w:t>
      </w:r>
    </w:p>
    <w:p>
      <w:r>
        <w:t xml:space="preserve">Mecanismo de captura manuscrita digital em tela móvel/touchscreen de dupla parte: assinatura do Técnico Especialista e do Responsável do Cliente (Engenheiro de Segurança, Médico do Trabalho ou SESMT). Os vetores gráficos são selados com Timestamp UTC imutável, georreferenciamento e dados funcionais, emitindo um Laudo Técnico de Homologação com validade jurídica formal.</w:t>
      </w:r>
    </w:p>
    <w:p>
      <w:pPr>
        <w:pStyle w:val="Heading2"/>
        <w:spacing w:after="100" w:before="200"/>
      </w:pPr>
      <w:r>
        <w:rPr>
          <w:b/>
          <w:bCs/>
          <w:color w:val="0284C7"/>
          <w:sz w:val="24"/>
          <w:szCs w:val="24"/>
        </w:rPr>
        <w:t xml:space="preserve">D. Sistema de Isolamento Lógico Operacional (Blindagem RBAC)</w:t>
      </w:r>
    </w:p>
    <w:p>
      <w:r>
        <w:t xml:space="preserve">Controle de acesso rigoroso em nível de modelo de dados (</w:t>
      </w:r>
      <w:r>
        <w:rPr>
          <w:b/>
          <w:bCs/>
        </w:rPr>
        <w:t xml:space="preserve">Row-Level RBAC</w:t>
      </w:r>
      <w:r>
        <w:t xml:space="preserve">). O técnico de campo opera em ambiente estritamente segregado, visualizando única e exclusivamente os testes por ele conduzidos em seus clientes designados. Gestores e administradores contam com visão analítica consolidada de indicadores de conversão, auditoria de processos e desempenho operacional sem cross-contamination de dados em campo.</w:t>
      </w:r>
    </w:p>
    <w:p>
      <w:pPr>
        <w:pStyle w:val="Heading1"/>
        <w:spacing w:after="160" w:before="360"/>
      </w:pPr>
      <w:r>
        <w:rPr>
          <w:b/>
          <w:bCs/>
          <w:color w:val="003366"/>
          <w:sz w:val="26"/>
          <w:szCs w:val="26"/>
        </w:rPr>
        <w:t xml:space="preserve">4. IMPACTO INDUSTRIAL E RELEVÂNCIA INVENTIVA</w:t>
      </w:r>
    </w:p>
    <w:p>
      <w:pPr>
        <w:pStyle w:val="ListParagraph"/>
        <w:numPr>
          <w:ilvl w:val="0"/>
          <w:numId w:val="1"/>
        </w:numPr>
      </w:pPr>
      <w:r>
        <w:rPr>
          <w:b/>
          <w:bCs/>
          <w:color w:val="1E293B"/>
        </w:rPr>
        <w:t xml:space="preserve">Segurança Jurídica e Trabalhista: </w:t>
      </w:r>
      <w:r>
        <w:t xml:space="preserve">Cria lastro pericial incontestável de entrega, adaptação e aceitação do trabalhador quanto ao EPI, reduzindo passivos trabalhistas.</w:t>
      </w:r>
    </w:p>
    <w:p>
      <w:pPr>
        <w:pStyle w:val="ListParagraph"/>
        <w:numPr>
          <w:ilvl w:val="0"/>
          <w:numId w:val="1"/>
        </w:numPr>
      </w:pPr>
      <w:r>
        <w:rPr>
          <w:b/>
          <w:bCs/>
          <w:color w:val="1E293B"/>
        </w:rPr>
        <w:t xml:space="preserve">Decisão Pautada em Engenharia e Finanças: </w:t>
      </w:r>
      <w:r>
        <w:t xml:space="preserve">Desloca a negociação da guerra de preços para a comprovação científica de ganho de vida útil, proteção ao trabalhador e redução de descarte ambiental.</w:t>
      </w:r>
    </w:p>
    <w:p>
      <w:pPr>
        <w:pStyle w:val="ListParagraph"/>
        <w:numPr>
          <w:ilvl w:val="0"/>
          <w:numId w:val="1"/>
        </w:numPr>
      </w:pPr>
      <w:r>
        <w:rPr>
          <w:b/>
          <w:bCs/>
          <w:color w:val="1E293B"/>
        </w:rPr>
        <w:t xml:space="preserve">Base para Registro de Marca e Patente: </w:t>
      </w:r>
      <w:r>
        <w:t xml:space="preserve">A clareza técnica e os diferenciais algorítmicos contidos neste memorial fornecem subsídio integral aos advogados de PI para o depósito junto ao INPI e para a consolidação do nome comercial oficial da ferramenta.</w:t>
      </w:r>
    </w:p>
    <w:p>
      <w:pPr>
        <w:spacing w:before="400"/>
      </w:pPr>
      <w:r>
        <w:rPr>
          <w:color w:val="CBD5E1"/>
        </w:rPr>
        <w:t xml:space="preserve">_________________________________________________________________________________</w:t>
      </w:r>
    </w:p>
    <w:p>
      <w:pPr>
        <w:jc w:val="right"/>
      </w:pPr>
      <w:r>
        <w:rPr>
          <w:color w:val="94A3B8"/>
          <w:sz w:val="18"/>
          <w:szCs w:val="18"/>
        </w:rPr>
        <w:t xml:space="preserve">Libus Partner — Documento Técnico Confidencial</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pPr>
        <w:spacing w:after="160"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2026-10-27T14:53:51.542Z</dcterms:created>
  <dcterms:modified xsi:type="dcterms:W3CDTF">2026-10-27T14:53:51.543Z</dcterms:modified>
</cp:coreProperties>
</file>

<file path=docProps/custom.xml><?xml version="1.0" encoding="utf-8"?>
<Properties xmlns="http://schemas.openxmlformats.org/officeDocument/2006/custom-properties" xmlns:vt="http://schemas.openxmlformats.org/officeDocument/2006/docPropsVTypes"/>
</file>