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rFonts w:ascii="Arial" w:cs="Arial" w:eastAsia="Arial" w:hAnsi="Arial"/>
          <w:b/>
          <w:bCs/>
          <w:sz w:val="34"/>
          <w:szCs w:val="34"/>
          <w:rtl/>
        </w:rPr>
        <w:t xml:space="preserve">מסמך פנימי נלווה להסכם שיתוף פעולה</w:t>
      </w:r>
    </w:p>
    <w:p>
      <w:pPr>
        <w:bidi/>
        <w:spacing w:after="220"/>
        <w:jc w:val="center"/>
      </w:pPr>
      <w:r>
        <w:rPr>
          <w:rFonts w:ascii="Arial" w:cs="Arial" w:eastAsia="Arial" w:hAnsi="Arial"/>
          <w:b/>
          <w:bCs/>
          <w:sz w:val="19"/>
          <w:szCs w:val="19"/>
          <w:rtl/>
        </w:rPr>
        <w:t xml:space="preserve">חסוי ומוכן לעיני עמותת חותם בלבד. אין להעבירו לצד השני או למי מטעמו.</w:t>
      </w:r>
    </w:p>
    <w:p>
      <w:pPr>
        <w:keepNext/>
        <w:bidi/>
        <w:spacing w:after="110" w:before="260"/>
      </w:pPr>
      <w:r>
        <w:rPr>
          <w:rFonts w:ascii="Arial" w:cs="Arial" w:eastAsia="Arial" w:hAnsi="Arial"/>
          <w:b/>
          <w:bCs/>
          <w:sz w:val="26"/>
          <w:szCs w:val="26"/>
          <w:rtl w:val="false"/>
        </w:rPr>
        <w:t xml:space="preserve">1.  </w:t>
      </w:r>
      <w:r>
        <w:rPr>
          <w:rFonts w:ascii="Arial" w:cs="Arial" w:eastAsia="Arial" w:hAnsi="Arial"/>
          <w:b/>
          <w:bCs/>
          <w:sz w:val="26"/>
          <w:szCs w:val="26"/>
          <w:rtl/>
        </w:rPr>
        <w:t xml:space="preserve">הנחות שעל יסודן נוסח ההסכם</w:t>
      </w:r>
    </w:p>
    <w:p>
      <w:pPr>
        <w:bidi/>
        <w:spacing w:after="120" w:line="288"/>
        <w:ind w:start="1191" w:hanging="567"/>
        <w:jc w:val="both"/>
      </w:pPr>
      <w:r>
        <w:rPr>
          <w:rFonts w:ascii="Arial" w:cs="Arial" w:eastAsia="Arial" w:hAnsi="Arial"/>
          <w:sz w:val="22"/>
          <w:szCs w:val="22"/>
          <w:rtl w:val="false"/>
        </w:rPr>
        <w:t xml:space="preserve">(א)  </w:t>
      </w:r>
      <w:r>
        <w:rPr>
          <w:rFonts w:ascii="Arial" w:cs="Arial" w:eastAsia="Arial" w:hAnsi="Arial"/>
          <w:sz w:val="22"/>
          <w:szCs w:val="22"/>
          <w:rtl/>
        </w:rPr>
        <w:t xml:space="preserve">הקמפיין הוא קמפיין של חותם, בא בגדר מטרותיה הרשומות, וחותם היא המממנת אותו.</w:t>
      </w:r>
    </w:p>
    <w:p>
      <w:pPr>
        <w:bidi/>
        <w:spacing w:after="120" w:line="288"/>
        <w:ind w:start="1191" w:hanging="567"/>
        <w:jc w:val="both"/>
      </w:pPr>
      <w:r>
        <w:rPr>
          <w:rFonts w:ascii="Arial" w:cs="Arial" w:eastAsia="Arial" w:hAnsi="Arial"/>
          <w:sz w:val="22"/>
          <w:szCs w:val="22"/>
          <w:rtl w:val="false"/>
        </w:rPr>
        <w:t xml:space="preserve">(ב)  </w:t>
      </w:r>
      <w:r>
        <w:rPr>
          <w:rFonts w:ascii="Arial" w:cs="Arial" w:eastAsia="Arial" w:hAnsi="Arial"/>
          <w:sz w:val="22"/>
          <w:szCs w:val="22"/>
          <w:rtl/>
        </w:rPr>
        <w:t xml:space="preserve">כל התרומות הן כספי חותם, ואין יתרה המיועדת לקרומבי או לעמותתו. קרומבי פועל בשל קשריו ויכולת היזמות שלו ולא לשם רווח.</w:t>
      </w:r>
    </w:p>
    <w:p>
      <w:pPr>
        <w:bidi/>
        <w:spacing w:after="120" w:line="288"/>
        <w:ind w:start="1191" w:hanging="567"/>
        <w:jc w:val="both"/>
      </w:pPr>
      <w:r>
        <w:rPr>
          <w:rFonts w:ascii="Arial" w:cs="Arial" w:eastAsia="Arial" w:hAnsi="Arial"/>
          <w:sz w:val="22"/>
          <w:szCs w:val="22"/>
          <w:rtl w:val="false"/>
        </w:rPr>
        <w:t xml:space="preserve">(ג)  </w:t>
      </w:r>
      <w:r>
        <w:rPr>
          <w:rFonts w:ascii="Arial" w:cs="Arial" w:eastAsia="Arial" w:hAnsi="Arial"/>
          <w:sz w:val="22"/>
          <w:szCs w:val="22"/>
          <w:rtl/>
        </w:rPr>
        <w:t xml:space="preserve">קרומבי מתקשר באופן אישי, ולא באמצעות עמותתו שאין בידה אישור לפי סעיף 46.</w:t>
      </w:r>
    </w:p>
    <w:p>
      <w:pPr>
        <w:bidi/>
        <w:spacing w:after="120" w:line="288"/>
        <w:ind w:start="1191" w:hanging="567"/>
        <w:jc w:val="both"/>
      </w:pPr>
      <w:r>
        <w:rPr>
          <w:rFonts w:ascii="Arial" w:cs="Arial" w:eastAsia="Arial" w:hAnsi="Arial"/>
          <w:sz w:val="22"/>
          <w:szCs w:val="22"/>
          <w:rtl w:val="false"/>
        </w:rPr>
        <w:t xml:space="preserve">(ד)  </w:t>
      </w:r>
      <w:r>
        <w:rPr>
          <w:rFonts w:ascii="Arial" w:cs="Arial" w:eastAsia="Arial" w:hAnsi="Arial"/>
          <w:sz w:val="22"/>
          <w:szCs w:val="22"/>
          <w:rtl/>
        </w:rPr>
        <w:t xml:space="preserve">ארבעת האחוזים מן הברוטו הם כיסוי עלויות ההקמה והתפעול של חותם, ולא תמורה המשולמת לצד שלישי.</w:t>
      </w:r>
    </w:p>
    <w:p>
      <w:pPr>
        <w:bidi/>
        <w:spacing w:after="120" w:line="288"/>
        <w:ind w:start="1191" w:hanging="567"/>
        <w:jc w:val="both"/>
      </w:pPr>
      <w:r>
        <w:rPr>
          <w:rFonts w:ascii="Arial" w:cs="Arial" w:eastAsia="Arial" w:hAnsi="Arial"/>
          <w:sz w:val="22"/>
          <w:szCs w:val="22"/>
          <w:rtl w:val="false"/>
        </w:rPr>
        <w:t xml:space="preserve">(ה)  </w:t>
      </w:r>
      <w:r>
        <w:rPr>
          <w:rFonts w:ascii="Arial" w:cs="Arial" w:eastAsia="Arial" w:hAnsi="Arial"/>
          <w:sz w:val="22"/>
          <w:szCs w:val="22"/>
          <w:rtl/>
        </w:rPr>
        <w:t xml:space="preserve">הדאטה נאספת במערכות חותם, וחותם היא בעלת הזכויות בה.</w:t>
      </w:r>
    </w:p>
    <w:p>
      <w:pPr>
        <w:bidi/>
        <w:spacing w:after="120" w:line="288"/>
        <w:ind w:start="1191" w:hanging="567"/>
        <w:jc w:val="both"/>
      </w:pPr>
      <w:r>
        <w:rPr>
          <w:rFonts w:ascii="Arial" w:cs="Arial" w:eastAsia="Arial" w:hAnsi="Arial"/>
          <w:sz w:val="22"/>
          <w:szCs w:val="22"/>
          <w:rtl w:val="false"/>
        </w:rPr>
        <w:t xml:space="preserve">(ו)  </w:t>
      </w:r>
      <w:r>
        <w:rPr>
          <w:rFonts w:ascii="Arial" w:cs="Arial" w:eastAsia="Arial" w:hAnsi="Arial"/>
          <w:sz w:val="22"/>
          <w:szCs w:val="22"/>
          <w:rtl/>
        </w:rPr>
        <w:t xml:space="preserve">הקמפיין אינו מזוהה עם גורם פוליטי ואינו קורא להצביע לגורם כלשהו.</w:t>
      </w:r>
    </w:p>
    <w:p>
      <w:pPr>
        <w:keepNext/>
        <w:bidi/>
        <w:spacing w:after="110" w:before="260"/>
      </w:pPr>
      <w:r>
        <w:rPr>
          <w:rFonts w:ascii="Arial" w:cs="Arial" w:eastAsia="Arial" w:hAnsi="Arial"/>
          <w:b/>
          <w:bCs/>
          <w:sz w:val="26"/>
          <w:szCs w:val="26"/>
          <w:rtl w:val="false"/>
        </w:rPr>
        <w:t xml:space="preserve">2.  </w:t>
      </w:r>
      <w:r>
        <w:rPr>
          <w:rFonts w:ascii="Arial" w:cs="Arial" w:eastAsia="Arial" w:hAnsi="Arial"/>
          <w:b/>
          <w:bCs/>
          <w:sz w:val="26"/>
          <w:szCs w:val="26"/>
          <w:rtl/>
        </w:rPr>
        <w:t xml:space="preserve">סוגיות פתוחות הטעונות הכרעה או השלמה</w:t>
      </w:r>
    </w:p>
    <w:p>
      <w:pPr>
        <w:bidi/>
        <w:spacing w:after="120" w:line="288"/>
        <w:ind w:start="1191" w:hanging="567"/>
        <w:jc w:val="both"/>
      </w:pPr>
      <w:r>
        <w:rPr>
          <w:rFonts w:ascii="Arial" w:cs="Arial" w:eastAsia="Arial" w:hAnsi="Arial"/>
          <w:sz w:val="22"/>
          <w:szCs w:val="22"/>
          <w:rtl w:val="false"/>
        </w:rPr>
        <w:t xml:space="preserve">(א)  </w:t>
      </w:r>
      <w:r>
        <w:rPr>
          <w:rFonts w:ascii="Arial" w:cs="Arial" w:eastAsia="Arial" w:hAnsi="Arial"/>
          <w:sz w:val="22"/>
          <w:szCs w:val="22"/>
          <w:rtl/>
        </w:rPr>
        <w:t xml:space="preserve">פרטי זיהוי: מספר העמותה, שמו המלא ומספר הזהות של קרומבי, כתובות הצדדים ומועד החתימה. הושארו במסמך מקומות ריקים.</w:t>
      </w:r>
    </w:p>
    <w:p>
      <w:pPr>
        <w:bidi/>
        <w:spacing w:after="120" w:line="288"/>
        <w:ind w:start="1191" w:hanging="567"/>
        <w:jc w:val="both"/>
      </w:pPr>
      <w:r>
        <w:rPr>
          <w:rFonts w:ascii="Arial" w:cs="Arial" w:eastAsia="Arial" w:hAnsi="Arial"/>
          <w:sz w:val="22"/>
          <w:szCs w:val="22"/>
          <w:rtl w:val="false"/>
        </w:rPr>
        <w:t xml:space="preserve">(ב)  </w:t>
      </w:r>
      <w:r>
        <w:rPr>
          <w:rFonts w:ascii="Arial" w:cs="Arial" w:eastAsia="Arial" w:hAnsi="Arial"/>
          <w:sz w:val="22"/>
          <w:szCs w:val="22"/>
          <w:rtl/>
        </w:rPr>
        <w:t xml:space="preserve">תמורה לקרומבי: ההסכם קובע כי אינו זכאי לתמורה כספית אלא בהסכמה בכתב. אם בכוונת הצדדים לשלם לו שכר, יש לקבעו כסכום קבוע מראש ולא כאחוז מן התרומות.</w:t>
      </w:r>
    </w:p>
    <w:p>
      <w:pPr>
        <w:bidi/>
        <w:spacing w:after="120" w:line="288"/>
        <w:ind w:start="1191" w:hanging="567"/>
        <w:jc w:val="both"/>
      </w:pPr>
      <w:r>
        <w:rPr>
          <w:rFonts w:ascii="Arial" w:cs="Arial" w:eastAsia="Arial" w:hAnsi="Arial"/>
          <w:sz w:val="22"/>
          <w:szCs w:val="22"/>
          <w:rtl w:val="false"/>
        </w:rPr>
        <w:t xml:space="preserve">(ג)  </w:t>
      </w:r>
      <w:r>
        <w:rPr>
          <w:rFonts w:ascii="Arial" w:cs="Arial" w:eastAsia="Arial" w:hAnsi="Arial"/>
          <w:sz w:val="22"/>
          <w:szCs w:val="22"/>
          <w:rtl/>
        </w:rPr>
        <w:t xml:space="preserve">עמלות חיצוניות: מי נושא בעמלות פלטפורמת הגיוס, הסליקה ואמצעי התשלום, והאם הן בתוך ארבעת האחוזים או נוספות עליהם. נדרשת הכרעה מספרית.</w:t>
      </w:r>
    </w:p>
    <w:p>
      <w:pPr>
        <w:bidi/>
        <w:spacing w:after="120" w:line="288"/>
        <w:ind w:start="1191" w:hanging="567"/>
        <w:jc w:val="both"/>
      </w:pPr>
      <w:r>
        <w:rPr>
          <w:rFonts w:ascii="Arial" w:cs="Arial" w:eastAsia="Arial" w:hAnsi="Arial"/>
          <w:sz w:val="22"/>
          <w:szCs w:val="22"/>
          <w:rtl w:val="false"/>
        </w:rPr>
        <w:t xml:space="preserve">(ד)  </w:t>
      </w:r>
      <w:r>
        <w:rPr>
          <w:rFonts w:ascii="Arial" w:cs="Arial" w:eastAsia="Arial" w:hAnsi="Arial"/>
          <w:sz w:val="22"/>
          <w:szCs w:val="22"/>
          <w:rtl/>
        </w:rPr>
        <w:t xml:space="preserve">זהות בית הדין לבוררות: מוטב לנקוב בשמו כבר במועד החתימה, שאם לא כן תידרש הסכמה חדשה דווקא בשעת מחלוקת.</w:t>
      </w:r>
    </w:p>
    <w:p>
      <w:pPr>
        <w:bidi/>
        <w:spacing w:after="120" w:line="288"/>
        <w:ind w:start="1191" w:hanging="567"/>
        <w:jc w:val="both"/>
      </w:pPr>
      <w:r>
        <w:rPr>
          <w:rFonts w:ascii="Arial" w:cs="Arial" w:eastAsia="Arial" w:hAnsi="Arial"/>
          <w:sz w:val="22"/>
          <w:szCs w:val="22"/>
          <w:rtl w:val="false"/>
        </w:rPr>
        <w:t xml:space="preserve">(ה)  </w:t>
      </w:r>
      <w:r>
        <w:rPr>
          <w:rFonts w:ascii="Arial" w:cs="Arial" w:eastAsia="Arial" w:hAnsi="Arial"/>
          <w:sz w:val="22"/>
          <w:szCs w:val="22"/>
          <w:rtl/>
        </w:rPr>
        <w:t xml:space="preserve">תקציב הקמפיין: לא נקבעה תקרה להוצאות שחותם מממנת ולא מנגנון לאישור הוצאות. מומלץ לקבוע שניהם.</w:t>
      </w:r>
    </w:p>
    <w:p>
      <w:pPr>
        <w:bidi/>
        <w:spacing w:after="120" w:line="288"/>
        <w:ind w:start="1191" w:hanging="567"/>
        <w:jc w:val="both"/>
      </w:pPr>
      <w:r>
        <w:rPr>
          <w:rFonts w:ascii="Arial" w:cs="Arial" w:eastAsia="Arial" w:hAnsi="Arial"/>
          <w:sz w:val="22"/>
          <w:szCs w:val="22"/>
          <w:rtl w:val="false"/>
        </w:rPr>
        <w:t xml:space="preserve">(ו)  </w:t>
      </w:r>
      <w:r>
        <w:rPr>
          <w:rFonts w:ascii="Arial" w:cs="Arial" w:eastAsia="Arial" w:hAnsi="Arial"/>
          <w:sz w:val="22"/>
          <w:szCs w:val="22"/>
          <w:rtl/>
        </w:rPr>
        <w:t xml:space="preserve">הסיכום בעל פה: סעיף מיצוי ההסכם מבטל כל הסכמה קודמת. יש לוודא שכל מה שהוסכם בעל פה ועודנו רלוונטי אכן נכתב בהסכם.</w:t>
      </w:r>
    </w:p>
    <w:p>
      <w:pPr>
        <w:bidi/>
        <w:spacing w:after="120" w:line="288"/>
        <w:ind w:start="1191" w:hanging="567"/>
        <w:jc w:val="both"/>
      </w:pPr>
      <w:r>
        <w:rPr>
          <w:rFonts w:ascii="Arial" w:cs="Arial" w:eastAsia="Arial" w:hAnsi="Arial"/>
          <w:sz w:val="22"/>
          <w:szCs w:val="22"/>
          <w:rtl w:val="false"/>
        </w:rPr>
        <w:t xml:space="preserve">(ז)  </w:t>
      </w:r>
      <w:r>
        <w:rPr>
          <w:rFonts w:ascii="Arial" w:cs="Arial" w:eastAsia="Arial" w:hAnsi="Arial"/>
          <w:sz w:val="22"/>
          <w:szCs w:val="22"/>
          <w:rtl/>
        </w:rPr>
        <w:t xml:space="preserve">אישור אורגנים: מומלץ להביא את ההתקשרות לאישור הוועד המנהל ולתעד את ההחלטה בפרוטוקול.</w:t>
      </w:r>
    </w:p>
    <w:p>
      <w:pPr>
        <w:keepNext/>
        <w:bidi/>
        <w:spacing w:after="110" w:before="260"/>
      </w:pPr>
      <w:r>
        <w:rPr>
          <w:rFonts w:ascii="Arial" w:cs="Arial" w:eastAsia="Arial" w:hAnsi="Arial"/>
          <w:b/>
          <w:bCs/>
          <w:sz w:val="26"/>
          <w:szCs w:val="26"/>
          <w:rtl w:val="false"/>
        </w:rPr>
        <w:t xml:space="preserve">3.  </w:t>
      </w:r>
      <w:r>
        <w:rPr>
          <w:rFonts w:ascii="Arial" w:cs="Arial" w:eastAsia="Arial" w:hAnsi="Arial"/>
          <w:b/>
          <w:bCs/>
          <w:sz w:val="26"/>
          <w:szCs w:val="26"/>
          <w:rtl/>
        </w:rPr>
        <w:t xml:space="preserve">ביקורת משפטית פנימית, חשיפות ונקודות תקיפה</w:t>
      </w:r>
    </w:p>
    <w:p>
      <w:pPr>
        <w:bidi/>
        <w:spacing w:after="120" w:line="288"/>
        <w:ind w:start="1191" w:hanging="567"/>
        <w:jc w:val="both"/>
      </w:pPr>
      <w:r>
        <w:rPr>
          <w:rFonts w:ascii="Arial" w:cs="Arial" w:eastAsia="Arial" w:hAnsi="Arial"/>
          <w:sz w:val="22"/>
          <w:szCs w:val="22"/>
          <w:rtl w:val="false"/>
        </w:rPr>
        <w:t xml:space="preserve">(א)  </w:t>
      </w:r>
      <w:r>
        <w:rPr>
          <w:rFonts w:ascii="Arial" w:cs="Arial" w:eastAsia="Arial" w:hAnsi="Arial"/>
          <w:sz w:val="22"/>
          <w:szCs w:val="22"/>
          <w:rtl/>
        </w:rPr>
        <w:t xml:space="preserve">חשיפת הדיוור היא החשיפה המהותית ביותר. חותם היא השולחת בפועל, והאחריות לפי סעיף 30א לחוק התקשורת מוטלת על המפרסם ועל השולח. שיפוי חוזי מקרומבי מקנה לחותם זכות חזרה אליו, אך אינו חוסם קנס או תביעה המופנים אליה. מומלץ לשלוח אל רשימות שנאספו בהסכמה מתועדת בלבד, לכלול מנגנון הסרה בכל הודעה, לשמור את הוכחות ההסכמה, ולשקול בטוחה או ביטוח.</w:t>
      </w:r>
    </w:p>
    <w:p>
      <w:pPr>
        <w:bidi/>
        <w:spacing w:after="120" w:line="288"/>
        <w:ind w:start="1191" w:hanging="567"/>
        <w:jc w:val="both"/>
      </w:pPr>
      <w:r>
        <w:rPr>
          <w:rFonts w:ascii="Arial" w:cs="Arial" w:eastAsia="Arial" w:hAnsi="Arial"/>
          <w:sz w:val="22"/>
          <w:szCs w:val="22"/>
          <w:rtl w:val="false"/>
        </w:rPr>
        <w:t xml:space="preserve">(ב)  </w:t>
      </w:r>
      <w:r>
        <w:rPr>
          <w:rFonts w:ascii="Arial" w:cs="Arial" w:eastAsia="Arial" w:hAnsi="Arial"/>
          <w:sz w:val="22"/>
          <w:szCs w:val="22"/>
          <w:rtl/>
        </w:rPr>
        <w:t xml:space="preserve">מועד הקמפיין. הקמפיין נמשך עד יום הבחירות. אף קמפיין ערכי שאינו מפלגתי חשוף לטענות בהקשר תעמולת בחירות ובהקשר האיסור שבכתב ההתחייבות של מוסד ציבורי לסייע לפעילות פוליטית. סעיף אופי הקמפיין נועד לתת לכך מענה חוזי, אך אינו מקנה חסינות. מומלץ לתעד את האופי הבלתי מפלגתי, להימנע משמות מפלגות ומועמדים, ולבחון את התכנים מול הדין החל. תחולתם המדויקת של דיני התעמולה על גוף שאינו מפלגה טעונה בדיקה פרטנית ולא אומתה במסמך זה.</w:t>
      </w:r>
    </w:p>
    <w:p>
      <w:pPr>
        <w:bidi/>
        <w:spacing w:after="120" w:line="288"/>
        <w:ind w:start="1191" w:hanging="567"/>
        <w:jc w:val="both"/>
      </w:pPr>
      <w:r>
        <w:rPr>
          <w:rFonts w:ascii="Arial" w:cs="Arial" w:eastAsia="Arial" w:hAnsi="Arial"/>
          <w:sz w:val="22"/>
          <w:szCs w:val="22"/>
          <w:rtl w:val="false"/>
        </w:rPr>
        <w:t xml:space="preserve">(ג)  </w:t>
      </w:r>
      <w:r>
        <w:rPr>
          <w:rFonts w:ascii="Arial" w:cs="Arial" w:eastAsia="Arial" w:hAnsi="Arial"/>
          <w:sz w:val="22"/>
          <w:szCs w:val="22"/>
          <w:rtl/>
        </w:rPr>
        <w:t xml:space="preserve">מיסוי ומעמד מלכ"ר. יש לאמת עם רואה החשבון את סיווגם של ארבעת האחוזים בספרים ואת שאלת המע"מ, מתוך ההבחנה שאין כאן מתן שירות לצד שלישי אלא הקצאת עלויות בקמפיין של חותם עצמה.</w:t>
      </w:r>
    </w:p>
    <w:p>
      <w:pPr>
        <w:bidi/>
        <w:spacing w:after="120" w:line="288"/>
        <w:ind w:start="1191" w:hanging="567"/>
        <w:jc w:val="both"/>
      </w:pPr>
      <w:r>
        <w:rPr>
          <w:rFonts w:ascii="Arial" w:cs="Arial" w:eastAsia="Arial" w:hAnsi="Arial"/>
          <w:sz w:val="22"/>
          <w:szCs w:val="22"/>
          <w:rtl w:val="false"/>
        </w:rPr>
        <w:t xml:space="preserve">(ד)  </w:t>
      </w:r>
      <w:r>
        <w:rPr>
          <w:rFonts w:ascii="Arial" w:cs="Arial" w:eastAsia="Arial" w:hAnsi="Arial"/>
          <w:sz w:val="22"/>
          <w:szCs w:val="22"/>
          <w:rtl/>
        </w:rPr>
        <w:t xml:space="preserve">הסכמת התורמים לשימוש בדאטה. אישורו של קרומבי אינו המקור המשפטי לשימוש, והמקור הוא הסכמת התורמים עצמם. יש לוודא שמנגנון הגיוס כולל הסכמה לשימוש עתידי, שאם לא כן חשוף השימוש בדאטה לשאר פעילות חותם לפי חוק הגנת הפרטיות.</w:t>
      </w:r>
    </w:p>
    <w:p>
      <w:pPr>
        <w:bidi/>
        <w:spacing w:after="120" w:line="288"/>
        <w:ind w:start="1191" w:hanging="567"/>
        <w:jc w:val="both"/>
      </w:pPr>
      <w:r>
        <w:rPr>
          <w:rFonts w:ascii="Arial" w:cs="Arial" w:eastAsia="Arial" w:hAnsi="Arial"/>
          <w:sz w:val="22"/>
          <w:szCs w:val="22"/>
          <w:rtl w:val="false"/>
        </w:rPr>
        <w:t xml:space="preserve">(ה)  </w:t>
      </w:r>
      <w:r>
        <w:rPr>
          <w:rFonts w:ascii="Arial" w:cs="Arial" w:eastAsia="Arial" w:hAnsi="Arial"/>
          <w:sz w:val="22"/>
          <w:szCs w:val="22"/>
          <w:rtl/>
        </w:rPr>
        <w:t xml:space="preserve">הבחנה בין קרומבי לעמותתו. יש להקפיד שלא יועברו תשלום או טובת הנאה לעמותתו ושלא ייווצר מצג כאילו הקמפיין שלה. עירוב כזה יחזיר את המבנה אל סוגיית עמותת הצינור, על כל חשיפותיה.</w:t>
      </w:r>
    </w:p>
    <w:p>
      <w:pPr>
        <w:bidi/>
        <w:spacing w:after="120" w:line="288"/>
        <w:ind w:start="1191" w:hanging="567"/>
        <w:jc w:val="both"/>
      </w:pPr>
      <w:r>
        <w:rPr>
          <w:rFonts w:ascii="Arial" w:cs="Arial" w:eastAsia="Arial" w:hAnsi="Arial"/>
          <w:sz w:val="22"/>
          <w:szCs w:val="22"/>
          <w:rtl w:val="false"/>
        </w:rPr>
        <w:t xml:space="preserve">(ו)  </w:t>
      </w:r>
      <w:r>
        <w:rPr>
          <w:rFonts w:ascii="Arial" w:cs="Arial" w:eastAsia="Arial" w:hAnsi="Arial"/>
          <w:sz w:val="22"/>
          <w:szCs w:val="22"/>
          <w:rtl/>
        </w:rPr>
        <w:t xml:space="preserve">נקודות שקרומבי עשוי לתקוף במשא ומתן: זכות הפסילה הבלתי מוגבלת של תכנים, השיפוי שאינו מוגבל בסכום, בעלות חותם בדאטה ובקניין הרוחני, וזכות הסיום בכל עת ובלא נימוק. אלה הוראות המוטות לטובת חותם, וייתכן שיידרש איזון, למשל תקרת שיפוי או הודעה מוקדמת קצרה.</w:t>
      </w:r>
    </w:p>
    <w:p>
      <w:pPr>
        <w:bidi/>
        <w:spacing w:after="120" w:line="288"/>
        <w:ind w:start="1191" w:hanging="567"/>
        <w:jc w:val="both"/>
      </w:pPr>
      <w:r>
        <w:rPr>
          <w:rFonts w:ascii="Arial" w:cs="Arial" w:eastAsia="Arial" w:hAnsi="Arial"/>
          <w:sz w:val="22"/>
          <w:szCs w:val="22"/>
          <w:rtl w:val="false"/>
        </w:rPr>
        <w:t xml:space="preserve">(ז)  </w:t>
      </w:r>
      <w:r>
        <w:rPr>
          <w:rFonts w:ascii="Arial" w:cs="Arial" w:eastAsia="Arial" w:hAnsi="Arial"/>
          <w:sz w:val="22"/>
          <w:szCs w:val="22"/>
          <w:rtl/>
        </w:rPr>
        <w:t xml:space="preserve">הערת אימות. שכבת סעיף 46 אומתה מול מסמך הלשכה המשפטית של הכנסת בעניין אישור מוסדות ציבור. מספרי הסעיפים בהנחיות רשם העמותות וסקירת הפסיקה בעניין עמותת צינור לא אומתו מילה במילה, בשל חסימת מקורות בסביבת העבודה.</w:t>
      </w:r>
    </w:p>
    <w:sectPr>
      <w:footerReference w:type="default" r:id="rId7"/>
      <w:pgSz w:w="12240" w:h="15840" w:orient="portrait"/>
      <w:pgMar w:top="1080" w:right="1080" w:bottom="1080" w:left="1080"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sz w:val="18"/>
        <w:szCs w:val="18"/>
        <w:rtl/>
      </w:rPr>
      <w:t xml:space="preserve">עמוד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tl/>
      </w:rPr>
      <w:t xml:space="preserve"> מתוך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2026-07-29T21:21:34.423Z</dcterms:created>
  <dcterms:modified xsi:type="dcterms:W3CDTF">2026-07-29T21:21:34.423Z</dcterms:modified>
</cp:coreProperties>
</file>

<file path=docProps/custom.xml><?xml version="1.0" encoding="utf-8"?>
<Properties xmlns="http://schemas.openxmlformats.org/officeDocument/2006/custom-properties" xmlns:vt="http://schemas.openxmlformats.org/officeDocument/2006/docPropsVTypes"/>
</file>