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val="1"/>
        <w:jc w:val="right"/>
      </w:pPr>
      <w:r>
        <w:rPr>
          <w:rtl w:val="1"/>
        </w:rPr>
        <w:t>מדינה יהודית בעלת תוכן</w:t>
      </w:r>
    </w:p>
    <w:p>
      <w:pPr>
        <w:pStyle w:val="Heading2"/>
        <w:bidi w:val="1"/>
        <w:jc w:val="right"/>
      </w:pPr>
      <w:r>
        <w:rPr>
          <w:rtl w:val="1"/>
        </w:rPr>
        <w:t>תקציר מנהלים</w:t>
      </w:r>
    </w:p>
    <w:p>
      <w:pPr>
        <w:bidi w:val="1"/>
        <w:jc w:val="right"/>
      </w:pPr>
      <w:r>
        <w:rPr>
          <w:rtl w:val="1"/>
        </w:rPr>
        <w:t>חוברת זו בוחנת שאלה אחת, הנפרשת על פני עשרה תחומים: מה פירוש המילה "יהודית" כשהיא מוצמדת למדינה ריבונית, ומי מוסמך להכריע בה. טענתה המרכזית היא שבמהלך העשורים האחרונים נשחקה המשמעות המהותית של "מדינה יהודית", לא בהכרעה דמוקרטית גלויה אלא בתהליך הדרגתי של פרשנות שיפוטית, מנהלית ותקשורתית, שהכפיף את הזהות היהודית לעקרונות שמקורם מחוץ למסורת ישראל. החוברת מתעדת את התהליך הזה תחום אחר תחום, מנתחת את דפוסי הפעולה החוזרים שלו, מביאה את קול המסורת מולו, ומציעה בסופה מענה שאיננו קינה אלא תורת מדינה.</w:t>
      </w:r>
    </w:p>
    <w:p>
      <w:pPr>
        <w:bidi w:val="1"/>
        <w:jc w:val="right"/>
      </w:pPr>
      <w:r>
        <w:rPr>
          <w:rtl w:val="1"/>
        </w:rPr>
        <w:t>החוברת בנויה מעשרה פרקים, שכל אחד מהם עומד על תחום אחד ומתחקה אחר אותו מסלול עצמו: מנקודת פתיחה של הסדר מוסכם, דרך שרשרת מדרגות של כרסום, אל מציאות שבה ההכרעה עברה מן הזירה הציבורית אל הערכאה. לצד הניתוח המשפטי מובאים בכל פרק העוגן התורני של הסוגיה, הביקורת השמרנית, והמערכה התקשורתית שליוותה אותה. להלן תמצית ראשי הפרקים.</w:t>
      </w:r>
    </w:p>
    <w:p>
      <w:pPr>
        <w:bidi w:val="1"/>
        <w:jc w:val="right"/>
      </w:pPr>
      <w:r>
        <w:rPr>
          <w:b/>
          <w:bCs w:val="1"/>
          <w:rtl w:val="1"/>
        </w:rPr>
        <w:t>פרק ראשון: מי שומר על השער? הגיור ושאלת מיהו יהודי.</w:t>
      </w:r>
      <w:r>
        <w:rPr>
          <w:rtl w:val="1"/>
        </w:rPr>
        <w:t xml:space="preserve"> הפרק עוסק בשער הכניסה אל העם: מי נחשב יהודי, ומי מוסמך לקבוע זאת. הוא מתאר את המעבר ההדרגתי מהגדרה הלכתית מובנת מאליה אל הכרה אזרחית בגיורים שאינם על פי ההלכה לעניין חוק השבות, ואת המשמעות של פיצול מרשם האוכלוסין ממעמד היוחסין.</w:t>
      </w:r>
    </w:p>
    <w:p>
      <w:pPr>
        <w:bidi w:val="1"/>
        <w:jc w:val="right"/>
      </w:pPr>
      <w:r>
        <w:rPr>
          <w:b/>
          <w:bCs w:val="1"/>
          <w:rtl w:val="1"/>
        </w:rPr>
        <w:t>פרק שני: חופה בזום, קידושין בבג"ץ. נישואין, גירושין ומעמד אישי.</w:t>
      </w:r>
      <w:r>
        <w:rPr>
          <w:rtl w:val="1"/>
        </w:rPr>
        <w:t xml:space="preserve"> הפרק עוסק בהסדרת הבית היהודי. הוא מתאר את שחיקת הבלעדיות של דין תורה בענייני המעמד האישי משני הכיוונים: מבחוץ, דרך הכרה בנישואין אזרחיים ובמסלולים עוקפים, ומבפנים, דרך כפיפות בית הדין הרבני לביקורת שיפוטית, ואת שאלות היוחסין הנוצרות בעקבות כך.</w:t>
      </w:r>
    </w:p>
    <w:p>
      <w:pPr>
        <w:bidi w:val="1"/>
        <w:jc w:val="right"/>
      </w:pPr>
      <w:r>
        <w:rPr>
          <w:b/>
          <w:bCs w:val="1"/>
          <w:rtl w:val="1"/>
        </w:rPr>
        <w:t>פרק שלישי: מי מכשיר את השולחן? הכשרות הממלכתית.</w:t>
      </w:r>
      <w:r>
        <w:rPr>
          <w:rtl w:val="1"/>
        </w:rPr>
        <w:t xml:space="preserve"> הפרק עוסק במעבר ממערכת כשרות ממלכתית אחת אל שוק של מצגים ותעודות פרטיות. הוא מנתח כיצד צומצם מונופול הכשרות עד לרפורמה שפירקה אותו, ומה צפוי לקרות לרמת הכשרות במטבחים הציבוריים ולשולחן המשותף בעקבות זאת.</w:t>
      </w:r>
    </w:p>
    <w:p>
      <w:pPr>
        <w:bidi w:val="1"/>
        <w:jc w:val="right"/>
      </w:pPr>
      <w:r>
        <w:rPr>
          <w:b/>
          <w:bCs w:val="1"/>
          <w:rtl w:val="1"/>
        </w:rPr>
        <w:t>פרק רביעי: של מי השבת? יום המנוחה של האומה.</w:t>
      </w:r>
      <w:r>
        <w:rPr>
          <w:rtl w:val="1"/>
        </w:rPr>
        <w:t xml:space="preserve"> הפרק עוסק בשבת כמרחב ציבורי. הוא מתאר את פירוקה ההדרגתי של אמנת הסטטוס קוו דרך ביזור מוניציפלי, היפוך היחס בין הכלל להיתר בהעסקה, והגנה שיפוטית על חילול השבת הממלכתי, ומעמיד מולם את עמדת הציבור המבקש שבת ישראלית ייחודית.</w:t>
      </w:r>
    </w:p>
    <w:p>
      <w:pPr>
        <w:bidi w:val="1"/>
        <w:jc w:val="right"/>
      </w:pPr>
      <w:r>
        <w:rPr>
          <w:b/>
          <w:bCs w:val="1"/>
          <w:rtl w:val="1"/>
        </w:rPr>
        <w:t>פרק חמישי: המים הפרטיים ביותר. המקווה, וסוגיית עותרים ציבוריים.</w:t>
      </w:r>
      <w:r>
        <w:rPr>
          <w:rtl w:val="1"/>
        </w:rPr>
        <w:t xml:space="preserve"> הפרק עוסק בכניסת ההכרעה השיפוטית והמנהלית אל המרחב האינטימי של המקווה: פתיחתו לשימושים שאינם על פי ייעודו ההלכתי, והגדרת תפקיד הבלנית מחדש בלשון של שירות. הוא כולל את סקירת פועלו של ארגון עיתים על כלל גלגוליו.</w:t>
      </w:r>
    </w:p>
    <w:p>
      <w:pPr>
        <w:bidi w:val="1"/>
        <w:jc w:val="right"/>
      </w:pPr>
      <w:r>
        <w:rPr>
          <w:b/>
          <w:bCs w:val="1"/>
          <w:rtl w:val="1"/>
        </w:rPr>
        <w:t>פרק שישי: אבני הבית. הכותל, בתי הכנסת והמקומות הקדושים.</w:t>
      </w:r>
      <w:r>
        <w:rPr>
          <w:rtl w:val="1"/>
        </w:rPr>
        <w:t xml:space="preserve"> הפרק עוסק בשליטה במקום הקדוש. הוא מתחקה אחר שלושים ושבע שנות התדיינות על סדרי הכותל, מעמיד מולן את שאלת מנהג המקום, ומשווה בין דרך הפעולה בכותל לבין ריסון בית המשפט בהר הבית.</w:t>
      </w:r>
    </w:p>
    <w:p>
      <w:pPr>
        <w:bidi w:val="1"/>
        <w:jc w:val="right"/>
      </w:pPr>
      <w:r>
        <w:rPr>
          <w:b/>
          <w:bCs w:val="1"/>
          <w:rtl w:val="1"/>
        </w:rPr>
        <w:t>פרק שביעי: מחיצה בפני עיוור. ההפרדה המגדרית.</w:t>
      </w:r>
      <w:r>
        <w:rPr>
          <w:rtl w:val="1"/>
        </w:rPr>
        <w:t xml:space="preserve"> הפרק עוסק בהבחנה בין הדרת נשים אסורה לבין הפרדה וולונטרית מבוקשת, ובטשטושה בשיח. הוא מתאר את התרחבות המערכה מן המרחב הציבורי אל האקדמיה, ואת הפרדוקס שבו איסור ההפרדה פוגע דווקא באינטרס התעסוקתי של הנשים שבשמן הוא מתנהל.</w:t>
      </w:r>
    </w:p>
    <w:p>
      <w:pPr>
        <w:bidi w:val="1"/>
        <w:jc w:val="right"/>
      </w:pPr>
      <w:r>
        <w:rPr>
          <w:b/>
          <w:bCs w:val="1"/>
          <w:rtl w:val="1"/>
        </w:rPr>
        <w:t>פרק שמיני: תורתו אומנותו. גיוס בני הישיבות.</w:t>
      </w:r>
      <w:r>
        <w:rPr>
          <w:rtl w:val="1"/>
        </w:rPr>
        <w:t xml:space="preserve"> הפרק עוסק בסוגיה החריפה של השעה. הוא מתעד ארבעה עשורים של חקיקה ופסילה חוזרות עד לצווי הגיוס ושלילת התקצוב, ומסביר מדוע דווקא כאן, מול ציבור שסירב, נתקלה שיטת ההכרעה השיפוטית בגבול כוחה. הפרק מדבר בגלוי גם על טענת השוויון בנטל בעת מלחמה.</w:t>
      </w:r>
    </w:p>
    <w:p>
      <w:pPr>
        <w:bidi w:val="1"/>
        <w:jc w:val="right"/>
      </w:pPr>
      <w:r>
        <w:rPr>
          <w:b/>
          <w:bCs w:val="1"/>
          <w:rtl w:val="1"/>
        </w:rPr>
        <w:t>פרק תשיעי: הדור הבא. חינוך, מוסדות ומינויים.</w:t>
      </w:r>
      <w:r>
        <w:rPr>
          <w:rtl w:val="1"/>
        </w:rPr>
        <w:t xml:space="preserve"> הפרק עוסק במנגנונים המעבירים את המסורת לדור הבא: מערכת החינוך ומינויי הרבנות והדיינות. הוא מנתח את שני הכלים החדשים של המערכה, המצור התקציבי על החינוך והפיקוח השיפוטי על המינויים, ומדוע רואה בהם הציבור התורני את קו ההגנה האחרון.</w:t>
      </w:r>
    </w:p>
    <w:p>
      <w:pPr>
        <w:bidi w:val="1"/>
        <w:jc w:val="right"/>
      </w:pPr>
      <w:r>
        <w:rPr>
          <w:b/>
          <w:bCs w:val="1"/>
          <w:rtl w:val="1"/>
        </w:rPr>
        <w:t>פרק עשירי: מדינה יהודית כערך עליון. השיטה במלואה, והמענה.</w:t>
      </w:r>
      <w:r>
        <w:rPr>
          <w:rtl w:val="1"/>
        </w:rPr>
        <w:t xml:space="preserve"> הפרק המסכם מאגד את תשעת הקודמים לכדי תמונה אחת, ומראה כיצד חוזר בכולם אותו דפוס פעולה. הוא משיב לטענות הנגד המרכזיות, ומציע מענה בכמה ראשים: השבת התוכן למונח "יהודית", מערכה פרשנית וחוקתית, הבראת מוסדות הדת מבפנים, וחידוש הברית החברתית בהסכמה.</w:t>
      </w:r>
    </w:p>
    <w:p>
      <w:pPr>
        <w:bidi w:val="1"/>
        <w:jc w:val="right"/>
      </w:pPr>
      <w:r>
        <w:rPr>
          <w:rtl w:val="1"/>
        </w:rPr>
        <w:t>החוברת נכתבת מתוך מחויבות לדמוקרטיה ולמדינה כאחת, והיא איננה קוראת למדינת הלכה ואיננה מסתירה את חלקו של המחנה השמרני בכשלים שהיא מתעדת. תכליתה לזהות תהליך שהתנהל שנים ללא דיון גלוי, להעמידו לבחינה, ולהציע דרך שבה שאלות הזהות של המדינה היהודית יוכרעו בזירה הראויה להן: זו של העם.</w:t>
      </w:r>
    </w:p>
    <w:sectPr w:rsidR="00FC693F" w:rsidRPr="0006063C" w:rsidSect="00034616">
      <w:footerReference w:type="default" r:id="rId9"/>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fldSimple w:instr=" PAGE \* MERGEFORMAT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David" w:hAnsi="David" w:cs="David"/>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480" w:after="0"/>
      <w:outlineLvl w:val="0"/>
    </w:pPr>
    <w:rPr>
      <w:rFonts w:asciiTheme="majorHAnsi" w:eastAsiaTheme="majorEastAsia" w:hAnsiTheme="majorHAnsi" w:cstheme="majorBidi" w:ascii="David" w:hAnsi="David" w:cs="David"/>
      <w:b/>
      <w:bCs/>
      <w:color w:val="365F91" w:themeColor="accent1" w:themeShade="BF"/>
      <w:sz w:val="40"/>
      <w:szCs w:val="28"/>
      <w:szCs w:val="40"/>
      <w:bCs w:val="1"/>
    </w:rPr>
  </w:style>
  <w:style w:type="paragraph" w:styleId="Heading2">
    <w:name w:val="heading 2"/>
    <w:basedOn w:val="Normal"/>
    <w:next w:val="Normal"/>
    <w:link w:val="Heading2Char"/>
    <w:uiPriority w:val="9"/>
    <w:unhideWhenUsed/>
    <w:qFormat/>
    <w:rsid w:val="00FC693F"/>
    <w:pPr>
      <w:keepNext/>
      <w:keepLines/>
      <w:bidi w:val="1"/>
      <w:spacing w:before="200" w:after="0"/>
      <w:outlineLvl w:val="1"/>
    </w:pPr>
    <w:rPr>
      <w:rFonts w:asciiTheme="majorHAnsi" w:eastAsiaTheme="majorEastAsia" w:hAnsiTheme="majorHAnsi" w:cstheme="majorBidi" w:ascii="David" w:hAnsi="David" w:cs="David"/>
      <w:b/>
      <w:bCs/>
      <w:color w:val="4F81BD" w:themeColor="accent1"/>
      <w:sz w:val="32"/>
      <w:szCs w:val="26"/>
      <w:szCs w:val="32"/>
      <w:bCs w:val="1"/>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