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center"/>
      </w:pPr>
      <w:r>
        <w:rPr>
          <w:rtl w:val="1"/>
        </w:rPr>
        <w:t>חוות דעת משפטית</w:t>
      </w:r>
    </w:p>
    <w:p>
      <w:pPr>
        <w:pStyle w:val="Heading2"/>
        <w:bidi w:val="1"/>
        <w:jc w:val="center"/>
      </w:pPr>
      <w:r>
        <w:rPr>
          <w:rtl w:val="1"/>
        </w:rPr>
        <w:t>העמדת מערכת הסליקה של עמותת חותם והנפקת קבלות בשמה עבור קמפיין גיוס המנוהל בידי גורם חיצוני</w:t>
      </w:r>
    </w:p>
    <w:p>
      <w:pPr>
        <w:bidi w:val="1"/>
        <w:jc w:val="both"/>
      </w:pPr>
      <w:r>
        <w:rPr>
          <w:b/>
          <w:bCs w:val="1"/>
          <w:rtl w:val="1"/>
        </w:rPr>
        <w:t>מיועד ל:</w:t>
      </w:r>
      <w:r>
        <w:rPr>
          <w:rtl w:val="1"/>
        </w:rPr>
        <w:t xml:space="preserve"> הנהלת עמותת חותם (פנימי), ולשמש בסיס להסדרת ההתקשרות מול הגורם המגייס.</w:t>
      </w:r>
    </w:p>
    <w:p>
      <w:pPr>
        <w:bidi w:val="1"/>
        <w:jc w:val="both"/>
      </w:pPr>
      <w:r>
        <w:rPr>
          <w:b/>
          <w:bCs w:val="1"/>
          <w:rtl w:val="1"/>
        </w:rPr>
        <w:t>תאריך:</w:t>
      </w:r>
      <w:r>
        <w:rPr>
          <w:rtl w:val="1"/>
        </w:rPr>
        <w:t xml:space="preserve"> 29 ביולי 2026.</w:t>
      </w:r>
    </w:p>
    <w:p>
      <w:pPr>
        <w:bidi w:val="1"/>
        <w:jc w:val="both"/>
      </w:pPr>
      <w:r>
        <w:rPr>
          <w:b/>
          <w:bCs w:val="1"/>
          <w:rtl w:val="1"/>
        </w:rPr>
        <w:t>מעמד המסמך:</w:t>
      </w:r>
      <w:r>
        <w:rPr>
          <w:rtl w:val="1"/>
        </w:rPr>
        <w:t xml:space="preserve"> טיוטת עבודה. חוות הדעת נשענת על התשתית העובדתית כפי שנמסרה בעל פה, וכפופה לאימות שתי עובדות מכריעות המסומנות בגוף המסמך.</w:t>
      </w:r>
    </w:p>
    <w:p>
      <w:pPr>
        <w:pStyle w:val="Heading2"/>
        <w:bidi w:val="1"/>
        <w:jc w:val="center"/>
      </w:pPr>
      <w:r>
        <w:rPr>
          <w:rtl w:val="1"/>
        </w:rPr>
        <w:t>א. מהות הפנייה והתשתית העובדתית</w:t>
      </w:r>
    </w:p>
    <w:p>
      <w:pPr>
        <w:bidi w:val="1"/>
        <w:jc w:val="both"/>
      </w:pPr>
      <w:r>
        <w:rPr>
          <w:rtl w:val="1"/>
        </w:rPr>
        <w:t>הובאה לפנינו התכנית הבאה, כפי שתוארה: גורם חיצוני לעמותה (להלן "המגייס") מבקש להריץ קמפיין גיוס תרומות בפלטפורמת גיוס מסחרית, מתוך חשבונו האישי באותה פלטפורמה. המגייס מנהל את הקמפיין, קובע את תוכנו ונושא באחריות לו, ולפי המתואר תוכן הקמפיין מתיישב עם מסריה ומטרותיה של העמותה.</w:t>
      </w:r>
    </w:p>
    <w:p>
      <w:pPr>
        <w:bidi w:val="1"/>
        <w:jc w:val="both"/>
      </w:pPr>
      <w:r>
        <w:rPr>
          <w:rtl w:val="1"/>
        </w:rPr>
        <w:t>מקום מגעה של העמותה בתכנית הוא כפול. ראשית, העמותה מעמידה לרשות הקמפיין את מערכת הסליקה שלה, בעיקר משום שזו כוללת אמצעי תשלום בביט שאינו זמין למגייס. שנית, וזה העיקר מבחינה משפטית, הקבלות הנמסרות לתורמים הן קבלות של עמותת חותם, המונפקות על ידי המערכת דרך מזכירות העמותה, וכל נתוני התורמים מצויים בידי העמותה.</w:t>
      </w:r>
    </w:p>
    <w:p>
      <w:pPr>
        <w:pStyle w:val="Heading2"/>
        <w:bidi w:val="1"/>
        <w:jc w:val="center"/>
      </w:pPr>
      <w:r>
        <w:rPr>
          <w:rtl w:val="1"/>
        </w:rPr>
        <w:t>ב. השאלה המשפטית</w:t>
      </w:r>
    </w:p>
    <w:p>
      <w:pPr>
        <w:bidi w:val="1"/>
        <w:jc w:val="both"/>
      </w:pPr>
      <w:r>
        <w:rPr>
          <w:rtl w:val="1"/>
        </w:rPr>
        <w:t>האם רשאית העמותה להעמיד את מערכת הסליקה שלה, ובעיקר להנפיק קבלות בשמה, עבור קמפיין גיוס שאותו מגדיר הגורם החיצוני כקמפיין שלו, ואשר הוא מנהל ואחראי לו במלואו. השאלה איננה טכנית. היא נוגעת ללב תכליתה של העמותה, לשליטתה בכספים שהיא מגייסת, ולנכונות המצג שהקבלה מוסרת לתורם.</w:t>
      </w:r>
    </w:p>
    <w:p>
      <w:pPr>
        <w:pStyle w:val="Heading2"/>
        <w:bidi w:val="1"/>
        <w:jc w:val="center"/>
      </w:pPr>
      <w:r>
        <w:rPr>
          <w:rtl w:val="1"/>
        </w:rPr>
        <w:t>ג. המסגרת הנורמטיבית</w:t>
      </w:r>
    </w:p>
    <w:p>
      <w:pPr>
        <w:bidi w:val="1"/>
        <w:jc w:val="both"/>
      </w:pPr>
      <w:r>
        <w:rPr>
          <w:rtl w:val="1"/>
        </w:rPr>
        <w:t>עמותה מחויבת לפעול אך ורק לקידום מטרותיה הרשומות, וכספיה נועדו למטרות אלה בלבד. חובה זו נגזרת מחוק העמותות ומהנחיות רשם העמותות שברשות התאגידים.[1]</w:t>
      </w:r>
    </w:p>
    <w:p>
      <w:pPr>
        <w:bidi w:val="1"/>
        <w:jc w:val="both"/>
      </w:pPr>
      <w:r>
        <w:rPr>
          <w:rtl w:val="1"/>
        </w:rPr>
        <w:t>רשם העמותות התווה במפורש את גבולות "העברת כספים לגוף אחר", ובכך גם את קו הגבול של מה שמכונה "עמותת צינור". העברת כספים או שירות לגורם אחר מותרת רק בהתקיים תנאים מצטברים, ובהם: שהפעולה תואמת את מטרות העמותה; שהגורם הנהנה הוא מוסד ללא כוונת רווח הפועל למטרה דומה ובעל אישור ניהול תקין; שהתורמים מודעים לכך; ושהעמותה מפקחת בפועל על השימוש בכספים ומוודאת שהם משמשים לייעודם.[2] מכאן, שהעברת כספים או הנפקת קבלות עבור פעילות של גורם חיצוני שאיננה בשליטת העמותה ואיננה משרתת את מטרותיה, אסורה.</w:t>
      </w:r>
    </w:p>
    <w:p>
      <w:pPr>
        <w:bidi w:val="1"/>
        <w:jc w:val="both"/>
      </w:pPr>
      <w:r>
        <w:rPr>
          <w:rtl w:val="1"/>
        </w:rPr>
        <w:t>בצד המס, סעיף 46 לפקודת מס הכנסה מקנה לתורם זיכוי במס בגין תרומתו למוסד ציבורי מוכר. ההכרה מותנית בעמידה בהגדרת "מוסד ציבורי" שבסעיף 9(2), טעונה פנייה יזומה ואישור ועדת הכספים של הכנסת, ומגבילה במפורש מוסד בעל אישור לפי סעיף 46 להעברת כספים אך ורק לגוף שגם לו אישור כאמור. עוד נקבע כי אין להנפיק קבלת תרומה בגין תקבול שניתנה בעדו תמורה, וכי על כל קבלה תודפס המילה "תרומה", ובמוסד מוכר אף הנוסח המחייב שלפיו למוסד אישור מס הכנסה לעניין תרומות לפי סעיף 46.[3]</w:t>
      </w:r>
    </w:p>
    <w:p>
      <w:pPr>
        <w:pStyle w:val="Heading2"/>
        <w:bidi w:val="1"/>
        <w:jc w:val="center"/>
      </w:pPr>
      <w:r>
        <w:rPr>
          <w:rtl w:val="1"/>
        </w:rPr>
        <w:t>ד. ניתוח: היכן עובר הקו</w:t>
      </w:r>
    </w:p>
    <w:p>
      <w:pPr>
        <w:bidi w:val="1"/>
        <w:jc w:val="both"/>
      </w:pPr>
      <w:r>
        <w:rPr>
          <w:rtl w:val="1"/>
        </w:rPr>
        <w:t>הכשרות של ההסדר איננה נחתכת לפי הכינוי שנותנים לו הצדדים, אלא לפי מהותו הכלכלית והמשפטית. שאלת המפתח אחת היא: של מי הקמפיין באמת. אם התרומות נכנסות לחשבון העמותה, נשארות בשליטתה המלאה ומשמשות את מטרותיה שלה, כי אז מדובר בגיוס של העמותה עצמה, שהמגייס משמש בו כנותן שירות מטעמה, וזהו מבנה כשר. אם לעומת זאת הכספים מיועדים בפועל לפעילותו של המגייס, והעמותה משמשת אך צינור המשאיל את שמו, את מערכת הסליקה שלו ואת פנקס הקבלות שלו, כי אז מדובר במבנה אסור.</w:t>
      </w:r>
    </w:p>
    <w:p>
      <w:pPr>
        <w:bidi w:val="1"/>
        <w:jc w:val="both"/>
      </w:pPr>
      <w:r>
        <w:rPr>
          <w:rtl w:val="1"/>
        </w:rPr>
        <w:t>הניסוח שנמסר, שלפיו "הקמפיין איננו של העמותה" ו"הכול הוא", מצביע דווקא על הסיכון. אם תיאור זה משקף את המציאות המשפטית, ולא רק את חלוקת העבודה בפועל, ההסדר חוצה את הקו האסור. הנפקת קבלה בשם העמותה מגלמת מצג שלפיו הכסף הוא הכנסת העמותה, המשמשת את מטרותיה. מצג שאיננו אמת פוגם בניהול התקין, ואף עלול להיחשב מסמך שאינו משקף תרומת אמת.</w:t>
      </w:r>
    </w:p>
    <w:p>
      <w:pPr>
        <w:bidi w:val="1"/>
        <w:jc w:val="both"/>
      </w:pPr>
      <w:r>
        <w:rPr>
          <w:rtl w:val="1"/>
        </w:rPr>
        <w:t>שני נתונים יכריעו את התמונה, ושניהם טרם אומתו:</w:t>
      </w:r>
    </w:p>
    <w:p>
      <w:pPr>
        <w:bidi w:val="1"/>
        <w:jc w:val="both"/>
      </w:pPr>
      <w:r>
        <w:rPr>
          <w:b/>
          <w:bCs w:val="1"/>
          <w:rtl w:val="1"/>
        </w:rPr>
        <w:t>ראשית, מעמד המס של העמותה.</w:t>
      </w:r>
      <w:r>
        <w:rPr>
          <w:rtl w:val="1"/>
        </w:rPr>
        <w:t xml:space="preserve"> אם לחותם אישור לפי סעיף 46, הרגישות עולה מדרגה. משעה שהמגייס הוא אדם פרטי שאין לו אישור כזה, כל ניתוב של כספים אליו אסור באיסור מפורש, והנפקת קבלה מזכה בגין תרומה שאיננה באמת של העמותה ולמטרותיה חושפת את העמותה ואת נושאי משרתה לשלילת האישור ואף לחשיפה פלילית. גם ללא אישור לפי סעיף 46, הנפקת קבלה בשם העמותה עודנה מצג בדבר ייעוד הכספים, וכפופה לכללי הניהול התקין.</w:t>
      </w:r>
    </w:p>
    <w:p>
      <w:pPr>
        <w:bidi w:val="1"/>
        <w:jc w:val="both"/>
      </w:pPr>
      <w:r>
        <w:rPr>
          <w:b/>
          <w:bCs w:val="1"/>
          <w:rtl w:val="1"/>
        </w:rPr>
        <w:t>שנית, זרימת הכספים והשליטה בהם.</w:t>
      </w:r>
      <w:r>
        <w:rPr>
          <w:rtl w:val="1"/>
        </w:rPr>
        <w:t xml:space="preserve"> יש לוודא לאן נכנסות התרומות, מי מחליט על ייעודן, וכיצד מתועד השימוש בהן. זהו הנתון שממנו נגזר אם לפנינו גיוס של העמותה או צינור אסור.</w:t>
      </w:r>
    </w:p>
    <w:p>
      <w:pPr>
        <w:bidi w:val="1"/>
        <w:jc w:val="both"/>
      </w:pPr>
      <w:r>
        <w:rPr>
          <w:rtl w:val="1"/>
        </w:rPr>
        <w:t>הערה נוספת: עצם מתן שירות סליקה לגורם חיצוני עלול, בנסיבות מסוימות, לחרוג ממטרות העמותה או להיחשב פעילות עסקית, ויש לבחון זאת בנפרד מסוגיית הקבלות.</w:t>
      </w:r>
    </w:p>
    <w:p>
      <w:pPr>
        <w:pStyle w:val="Heading2"/>
        <w:bidi w:val="1"/>
        <w:jc w:val="center"/>
      </w:pPr>
      <w:r>
        <w:rPr>
          <w:rtl w:val="1"/>
        </w:rPr>
        <w:t>ה. מסקנה</w:t>
      </w:r>
    </w:p>
    <w:p>
      <w:pPr>
        <w:bidi w:val="1"/>
        <w:jc w:val="both"/>
      </w:pPr>
      <w:r>
        <w:rPr>
          <w:rtl w:val="1"/>
        </w:rPr>
        <w:t>בכפוף לאימות שני הנתונים שלעיל, עמדתנו היא זו. ההסדר במתכונתו המתוארת, שבה הקמפיין מוגדר כשל המגייס והעמותה מספקת בעיקר את שמה, את מערכת הסליקה ואת פנקס הקבלות, איננו כשר, ומגלם מבנה של "עמותת צינור" על כל חשיפותיו. עם זאת, ניתן להכשיר את שיתוף הפעולה אם וכאשר יעוצב מחדש כך שיהיה במהותו גיוס של עמותת חותם עצמה, בהתקיים התנאים המצטברים שבפרק הבא.</w:t>
      </w:r>
    </w:p>
    <w:p>
      <w:pPr>
        <w:pStyle w:val="Heading2"/>
        <w:bidi w:val="1"/>
        <w:jc w:val="center"/>
      </w:pPr>
      <w:r>
        <w:rPr>
          <w:rtl w:val="1"/>
        </w:rPr>
        <w:t>ו. תנאים מצטברים להכשרת ההסדר</w:t>
      </w:r>
    </w:p>
    <w:p>
      <w:pPr>
        <w:bidi w:val="1"/>
        <w:jc w:val="both"/>
      </w:pPr>
      <w:r>
        <w:rPr>
          <w:rtl w:val="1"/>
        </w:rPr>
        <w:t>1. מטרת הקמפיין נכללת בפועל בין המטרות הרשומות של חותם, ולא רק "מתיישבת עם המסרים". יש לאמת מול תקנון העמותה.</w:t>
      </w:r>
    </w:p>
    <w:p>
      <w:pPr>
        <w:bidi w:val="1"/>
        <w:jc w:val="both"/>
      </w:pPr>
      <w:r>
        <w:rPr>
          <w:rtl w:val="1"/>
        </w:rPr>
        <w:t>2. התרומות נכנסות לחשבון העמותה ונשארות בשליטתה המלאה, והעמותה היא שמחליטה על ייעודן ועל אופן השימוש בהן.</w:t>
      </w:r>
    </w:p>
    <w:p>
      <w:pPr>
        <w:bidi w:val="1"/>
        <w:jc w:val="both"/>
      </w:pPr>
      <w:r>
        <w:rPr>
          <w:rtl w:val="1"/>
        </w:rPr>
        <w:t>3. העמותה מפעילה פיקוח ובקרה אמיתיים על תוכן הקמפיין ועל השימוש בכספים, ומתעדת זאת.</w:t>
      </w:r>
    </w:p>
    <w:p>
      <w:pPr>
        <w:bidi w:val="1"/>
        <w:jc w:val="both"/>
      </w:pPr>
      <w:r>
        <w:rPr>
          <w:rtl w:val="1"/>
        </w:rPr>
        <w:t>4. הקמפיין מוצג ומתנהל כקמפיין של חותם, והתורם יודע בבירור שהוא תורם לעמותת חותם.</w:t>
      </w:r>
    </w:p>
    <w:p>
      <w:pPr>
        <w:bidi w:val="1"/>
        <w:jc w:val="both"/>
      </w:pPr>
      <w:r>
        <w:rPr>
          <w:rtl w:val="1"/>
        </w:rPr>
        <w:t>5. מעמד המגייס מוסדר בהסכם בכתב כנותן שירות או מגייס מטעם העמותה, ולא כבעל הכספים. הסדר התמורה למגייס, אם קיים, יהיה שקוף וסביר, ולא יעטה אופי של חלוקת רווחי העמותה.</w:t>
      </w:r>
    </w:p>
    <w:p>
      <w:pPr>
        <w:bidi w:val="1"/>
        <w:jc w:val="both"/>
      </w:pPr>
      <w:r>
        <w:rPr>
          <w:rtl w:val="1"/>
        </w:rPr>
        <w:t>6. אם לעמותה אישור לפי סעיף 46, אין להעביר כספים לגורם שאין לו אישור כזה, וכל קבלה תשקף תרומת אמת לעמותה ותנוסח כדין.</w:t>
      </w:r>
    </w:p>
    <w:p>
      <w:pPr>
        <w:bidi w:val="1"/>
        <w:jc w:val="both"/>
      </w:pPr>
      <w:r>
        <w:rPr>
          <w:rtl w:val="1"/>
        </w:rPr>
        <w:t>7. לא תינתן לתורם כל תמורה בעד תרומתו.</w:t>
      </w:r>
    </w:p>
    <w:p>
      <w:pPr>
        <w:bidi w:val="1"/>
        <w:jc w:val="both"/>
      </w:pPr>
      <w:r>
        <w:rPr>
          <w:rtl w:val="1"/>
        </w:rPr>
        <w:t>8. ההתקשרות והתקבולים ידווחו בספרי העמותה ובדוחותיה, ויובאו לאישור האורגנים המוסמכים ככל שנדרש לפי סכומם ומהותם.</w:t>
      </w:r>
    </w:p>
    <w:p>
      <w:pPr>
        <w:pStyle w:val="Heading2"/>
        <w:bidi w:val="1"/>
        <w:jc w:val="center"/>
      </w:pPr>
      <w:r>
        <w:rPr>
          <w:rtl w:val="1"/>
        </w:rPr>
        <w:t>ז. הסתייגויות</w:t>
      </w:r>
    </w:p>
    <w:p>
      <w:pPr>
        <w:bidi w:val="1"/>
        <w:jc w:val="both"/>
      </w:pPr>
      <w:r>
        <w:rPr>
          <w:rtl w:val="1"/>
        </w:rPr>
        <w:t>חוות דעת זו ניתנת על יסוד התיאור שנמסר, וכפופה לאימות התשתית העובדתית, ובכללה מעמד המס של העמותה וזרימת הכספים בפועל. אין בה כדי להחליף בדיקה פרטנית מול רואה החשבון של העמותה ומול הגורמים המוסמכים ברשות התאגידים וברשות המסים טרם קבלת החלטה סופית.</w:t>
      </w:r>
    </w:p>
    <w:p>
      <w:pPr>
        <w:bidi w:val="1"/>
        <w:jc w:val="both"/>
      </w:pPr>
      <w:r>
        <w:rPr>
          <w:sz w:val="18"/>
          <w:rtl w:val="1"/>
        </w:rPr>
        <w:t>[1] חוק העמותות, התש"ם-1980; והנחיות רשם העמותות שברשות התאגידים, "הנחיות להתנהלות עמותות בהתאם לחוק העמותות, תש"ם-1980".</w:t>
      </w:r>
    </w:p>
    <w:p>
      <w:pPr>
        <w:bidi w:val="1"/>
        <w:jc w:val="both"/>
      </w:pPr>
      <w:r>
        <w:rPr>
          <w:sz w:val="18"/>
          <w:rtl w:val="1"/>
        </w:rPr>
        <w:t>[2] הנחיות רשם העמותות בעניין העברת כספים ונכסים לגוף אחר, לרבות תנאי ההתאמה למטרות, מעמד הגוף הנהנה, ידיעת התורמים והפיקוח על השימוש.</w:t>
      </w:r>
    </w:p>
    <w:p>
      <w:pPr>
        <w:bidi w:val="1"/>
        <w:jc w:val="both"/>
      </w:pPr>
      <w:r>
        <w:rPr>
          <w:sz w:val="18"/>
          <w:rtl w:val="1"/>
        </w:rPr>
        <w:t>[3] סעיף 46 וסעיף 46א לפקודת מס הכנסה, וסעיף 9(2) שבו מוגדר "מוסד ציבורי". ההכרה טעונה אישור ועדת הכספים של הכנסת, ומגבילה מוסד מוכר להעברת כספים לגוף מוכר בלבד.</w:t>
      </w:r>
    </w:p>
    <w:sectPr w:rsidR="00FC693F" w:rsidRPr="0006063C" w:rsidSect="00034616">
      <w:footerReference w:type="default" r:id="rId9"/>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fldSimple w:instr=" PAGE \* MERGEFORMAT ">
      <w:r>
        <w:rPr>
          <w:rFonts w:ascii="David" w:hAnsi="David" w:cs="David"/>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480" w:after="0"/>
      <w:outlineLvl w:val="0"/>
    </w:pPr>
    <w:rPr>
      <w:rFonts w:asciiTheme="majorHAnsi" w:eastAsiaTheme="majorEastAsia" w:hAnsiTheme="majorHAnsi" w:cstheme="majorBidi" w:ascii="David" w:hAnsi="David" w:cs="David"/>
      <w:b/>
      <w:bCs w:val="1"/>
      <w:color w:val="365F91" w:themeColor="accent1" w:themeShade="BF"/>
      <w:sz w:val="36"/>
      <w:szCs w:val="36"/>
    </w:rPr>
  </w:style>
  <w:style w:type="paragraph" w:styleId="Heading2">
    <w:name w:val="heading 2"/>
    <w:basedOn w:val="Normal"/>
    <w:next w:val="Normal"/>
    <w:link w:val="Heading2Char"/>
    <w:uiPriority w:val="9"/>
    <w:unhideWhenUsed/>
    <w:qFormat/>
    <w:rsid w:val="00FC693F"/>
    <w:pPr>
      <w:keepNext/>
      <w:keepLines/>
      <w:bidi w:val="1"/>
      <w:spacing w:before="200" w:after="0"/>
      <w:outlineLvl w:val="1"/>
    </w:pPr>
    <w:rPr>
      <w:rFonts w:asciiTheme="majorHAnsi" w:eastAsiaTheme="majorEastAsia" w:hAnsiTheme="majorHAnsi" w:cstheme="majorBidi" w:ascii="David" w:hAnsi="David" w:cs="David"/>
      <w:b/>
      <w:bCs w:val="1"/>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bidi w:val="1"/>
      <w:spacing w:before="200" w:after="0"/>
      <w:outlineLvl w:val="2"/>
    </w:pPr>
    <w:rPr>
      <w:rFonts w:asciiTheme="majorHAnsi" w:eastAsiaTheme="majorEastAsia" w:hAnsiTheme="majorHAnsi" w:cstheme="majorBidi" w:ascii="David" w:hAnsi="David" w:cs="David"/>
      <w:b/>
      <w:bCs w:val="1"/>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