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c>
          <w:tcPr>
            <w:tcBorders>
              <w:top w:val="none" w:color="FFFFFF" w:sz="0"/>
              <w:left w:val="none" w:color="FFFFFF" w:sz="0"/>
              <w:bottom w:val="none" w:color="FFFFFF" w:sz="0"/>
              <w:right w:val="none" w:color="FFFFFF" w:sz="0"/>
            </w:tcBorders>
            <w:shd w:fill="C4614A" w:val="clear"/>
            <w:tcMar>
              <w:top w:type="dxa" w:w="280"/>
              <w:left w:type="dxa" w:w="360"/>
              <w:bottom w:type="dxa" w:w="280"/>
              <w:right w:type="dxa" w:w="240"/>
            </w:tcMar>
          </w:tcPr>
          <w:p>
            <w:pPr>
              <w:spacing w:before="0" w:after="60"/>
            </w:pPr>
            <w:r>
              <w:rPr>
                <w:rFonts w:ascii="Arial" w:cs="Arial" w:eastAsia="Arial" w:hAnsi="Arial"/>
                <w:b/>
                <w:bCs/>
                <w:color w:val="FFFFFF"/>
                <w:spacing w:val="100"/>
                <w:sz w:val="20"/>
                <w:szCs w:val="20"/>
              </w:rPr>
              <w:t xml:space="preserve">NOTE STRATÉGIQUE</w:t>
            </w:r>
          </w:p>
          <w:p>
            <w:pPr>
              <w:spacing w:before="0" w:after="60"/>
            </w:pPr>
            <w:r>
              <w:rPr>
                <w:rFonts w:ascii="Arial" w:cs="Arial" w:eastAsia="Arial" w:hAnsi="Arial"/>
                <w:b/>
                <w:bCs/>
                <w:color w:val="FFFFFF"/>
                <w:sz w:val="28"/>
                <w:szCs w:val="28"/>
              </w:rPr>
              <w:t xml:space="preserve">Mon positionnement au sein de The Welt Group</w:t>
            </w:r>
          </w:p>
          <w:p>
            <w:pPr>
              <w:spacing w:before="0" w:after="0"/>
            </w:pPr>
            <w:r>
              <w:rPr>
                <w:rFonts w:ascii="Arial" w:cs="Arial" w:eastAsia="Arial" w:hAnsi="Arial"/>
                <w:color w:val="FFD9C4"/>
                <w:sz w:val="20"/>
                <w:szCs w:val="20"/>
              </w:rPr>
              <w:t xml:space="preserve">Relia Ebiya  ·  Chef de Projet Digital &amp; Stratège</w:t>
            </w:r>
          </w:p>
        </w:tc>
        <w:tc>
          <w:tcPr>
            <w:tcBorders>
              <w:top w:val="none" w:color="FFFFFF" w:sz="0"/>
              <w:left w:val="none" w:color="FFFFFF" w:sz="0"/>
              <w:bottom w:val="none" w:color="FFFFFF" w:sz="0"/>
              <w:right w:val="none" w:color="FFFFFF" w:sz="0"/>
            </w:tcBorders>
            <w:shd w:fill="A84030" w:val="clear"/>
            <w:tcMar>
              <w:top w:type="dxa" w:w="280"/>
              <w:left w:type="dxa" w:w="200"/>
              <w:bottom w:type="dxa" w:w="280"/>
              <w:right w:type="dxa" w:w="280"/>
            </w:tcMar>
            <w:vAlign w:val="center"/>
          </w:tcPr>
          <w:p>
            <w:pPr>
              <w:spacing w:before="0" w:after="40"/>
              <w:jc w:val="center"/>
            </w:pPr>
            <w:r>
              <w:rPr>
                <w:rFonts w:ascii="Arial" w:cs="Arial" w:eastAsia="Arial" w:hAnsi="Arial"/>
                <w:b/>
                <w:bCs/>
                <w:color w:val="FFFFFF"/>
                <w:sz w:val="18"/>
                <w:szCs w:val="18"/>
              </w:rPr>
              <w:t xml:space="preserve">Mars 2026</w:t>
            </w:r>
          </w:p>
          <w:p>
            <w:pPr>
              <w:spacing w:before="0" w:after="0"/>
              <w:jc w:val="center"/>
            </w:pPr>
            <w:r>
              <w:rPr>
                <w:rFonts w:ascii="Arial" w:cs="Arial" w:eastAsia="Arial" w:hAnsi="Arial"/>
                <w:color w:val="FFD9C4"/>
                <w:sz w:val="16"/>
                <w:szCs w:val="16"/>
              </w:rPr>
              <w:t xml:space="preserve">Confidentiel</w:t>
            </w:r>
          </w:p>
        </w:tc>
      </w:tr>
    </w:tbl>
    <w:p>
      <w:pPr>
        <w:spacing w:before="0" w:after="2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F5F0EB" w:val="clear"/>
            <w:tcMar>
              <w:top w:type="dxa" w:w="180"/>
              <w:left w:type="dxa" w:w="320"/>
              <w:bottom w:type="dxa" w:w="180"/>
              <w:right w:type="dxa" w:w="320"/>
            </w:tcMar>
          </w:tcPr>
          <w:p>
            <w:pPr>
              <w:spacing w:before="0" w:after="0"/>
              <w:jc w:val="left"/>
            </w:pPr>
            <w:r>
              <w:rPr>
                <w:rFonts w:ascii="Arial" w:cs="Arial" w:eastAsia="Arial" w:hAnsi="Arial"/>
                <w:color w:val="444444"/>
                <w:sz w:val="22"/>
                <w:szCs w:val="22"/>
              </w:rPr>
              <w:t xml:space="preserve">Je ne viens pas occuper un poste. Je viens construire quelque chose. Mon profil croise exactement les besoins de TWG au moment où le Groupe accélère sur le digital et les technologies africaines.</w:t>
            </w:r>
          </w:p>
        </w:tc>
      </w:tr>
    </w:tbl>
    <w:p>
      <w:pPr>
        <w:spacing w:before="0" w:after="240"/>
      </w:pPr>
    </w:p>
    <w:p>
      <w:pPr>
        <w:pBdr>
          <w:bottom w:val="single" w:color="C4614A" w:sz="4" w:space="4"/>
        </w:pBdr>
        <w:spacing w:before="360" w:after="120"/>
      </w:pPr>
      <w:r>
        <w:rPr>
          <w:rFonts w:ascii="Arial" w:cs="Arial" w:eastAsia="Arial" w:hAnsi="Arial"/>
          <w:b/>
          <w:bCs/>
          <w:color w:val="C4614A"/>
          <w:sz w:val="28"/>
          <w:szCs w:val="28"/>
        </w:rPr>
        <w:t xml:space="preserve">01  Mon positionnement — Chef de Projet Digital &amp; Stratège</w:t>
      </w:r>
    </w:p>
    <w:p>
      <w:pPr>
        <w:spacing w:before="0" w:after="120"/>
        <w:jc w:val="left"/>
      </w:pPr>
      <w:r>
        <w:rPr>
          <w:rFonts w:ascii="Arial" w:cs="Arial" w:eastAsia="Arial" w:hAnsi="Arial"/>
          <w:b w:val="false"/>
          <w:bCs w:val="false"/>
          <w:i w:val="false"/>
          <w:iCs w:val="false"/>
          <w:color w:val="1A1A1A"/>
          <w:sz w:val="22"/>
          <w:szCs w:val="22"/>
        </w:rPr>
        <w:t xml:space="preserve">Je me positionne comme </w:t>
      </w:r>
      <w:r>
        <w:rPr>
          <w:rFonts w:ascii="Arial" w:cs="Arial" w:eastAsia="Arial" w:hAnsi="Arial"/>
          <w:b/>
          <w:bCs/>
          <w:i w:val="false"/>
          <w:iCs w:val="false"/>
          <w:color w:val="C4614A"/>
          <w:sz w:val="22"/>
          <w:szCs w:val="22"/>
        </w:rPr>
        <w:t xml:space="preserve">architecte produit et coordinatrice digitale</w:t>
      </w:r>
      <w:r>
        <w:rPr>
          <w:rFonts w:ascii="Arial" w:cs="Arial" w:eastAsia="Arial" w:hAnsi="Arial"/>
          <w:b w:val="false"/>
          <w:bCs w:val="false"/>
          <w:i w:val="false"/>
          <w:iCs w:val="false"/>
          <w:color w:val="1A1A1A"/>
          <w:sz w:val="22"/>
          <w:szCs w:val="22"/>
        </w:rPr>
        <w:t xml:space="preserve"> du Groupe, avec un focus sur trois axes prioritaires.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Borders>
              <w:top w:val="none" w:color="FFFFFF" w:sz="0"/>
              <w:left w:val="none" w:color="FFFFFF" w:sz="0"/>
              <w:bottom w:val="none" w:color="FFFFFF" w:sz="0"/>
              <w:right w:val="none" w:color="FFFFFF" w:sz="0"/>
            </w:tcBorders>
            <w:shd w:fill="C4614A" w:val="clear"/>
            <w:tcMar>
              <w:top w:type="dxa" w:w="140"/>
              <w:left w:type="dxa" w:w="200"/>
              <w:bottom w:type="dxa" w:w="140"/>
              <w:right w:type="dxa" w:w="200"/>
            </w:tcMar>
          </w:tcPr>
          <w:p>
            <w:pPr>
              <w:spacing w:before="0" w:after="40"/>
            </w:pPr>
            <w:r>
              <w:rPr>
                <w:rFonts w:ascii="Arial" w:cs="Arial" w:eastAsia="Arial" w:hAnsi="Arial"/>
                <w:b w:val="false"/>
                <w:bCs w:val="false"/>
                <w:color w:val="FFCCBB"/>
                <w:sz w:val="16"/>
                <w:szCs w:val="16"/>
              </w:rPr>
              <w:t xml:space="preserve">Axe 1</w:t>
            </w:r>
          </w:p>
          <w:p>
            <w:pPr>
              <w:spacing w:before="0" w:after="40"/>
            </w:pPr>
            <w:r>
              <w:rPr>
                <w:rFonts w:ascii="Arial" w:cs="Arial" w:eastAsia="Arial" w:hAnsi="Arial"/>
                <w:b/>
                <w:bCs/>
                <w:color w:val="FFFFFF"/>
                <w:sz w:val="24"/>
                <w:szCs w:val="24"/>
              </w:rPr>
              <w:t xml:space="preserve">W Application</w:t>
            </w:r>
          </w:p>
          <w:p>
            <w:pPr>
              <w:spacing w:before="0" w:after="0"/>
            </w:pPr>
            <w:r>
              <w:rPr>
                <w:rFonts w:ascii="Arial" w:cs="Arial" w:eastAsia="Arial" w:hAnsi="Arial"/>
                <w:color w:val="FFFFFF"/>
                <w:sz w:val="18"/>
                <w:szCs w:val="18"/>
              </w:rPr>
              <w:t xml:space="preserve">WeChat africain — architecture produit</w:t>
            </w:r>
          </w:p>
        </w:tc>
        <w:tc>
          <w:tcPr>
            <w:tcBorders>
              <w:top w:val="none" w:color="FFFFFF" w:sz="0"/>
              <w:left w:val="none" w:color="FFFFFF" w:sz="0"/>
              <w:bottom w:val="none" w:color="FFFFFF" w:sz="0"/>
              <w:right w:val="none" w:color="FFFFFF" w:sz="0"/>
            </w:tcBorders>
            <w:shd w:fill="C9A84C" w:val="clear"/>
            <w:tcMar>
              <w:top w:type="dxa" w:w="140"/>
              <w:left w:type="dxa" w:w="200"/>
              <w:bottom w:type="dxa" w:w="140"/>
              <w:right w:type="dxa" w:w="200"/>
            </w:tcMar>
          </w:tcPr>
          <w:p>
            <w:pPr>
              <w:spacing w:before="0" w:after="40"/>
            </w:pPr>
            <w:r>
              <w:rPr>
                <w:rFonts w:ascii="Arial" w:cs="Arial" w:eastAsia="Arial" w:hAnsi="Arial"/>
                <w:b w:val="false"/>
                <w:bCs w:val="false"/>
                <w:color w:val="FFCCBB"/>
                <w:sz w:val="16"/>
                <w:szCs w:val="16"/>
              </w:rPr>
              <w:t xml:space="preserve">Axe 2</w:t>
            </w:r>
          </w:p>
          <w:p>
            <w:pPr>
              <w:spacing w:before="0" w:after="40"/>
            </w:pPr>
            <w:r>
              <w:rPr>
                <w:rFonts w:ascii="Arial" w:cs="Arial" w:eastAsia="Arial" w:hAnsi="Arial"/>
                <w:b/>
                <w:bCs/>
                <w:color w:val="FFFFFF"/>
                <w:sz w:val="24"/>
                <w:szCs w:val="24"/>
              </w:rPr>
              <w:t xml:space="preserve">Business Plans</w:t>
            </w:r>
          </w:p>
          <w:p>
            <w:pPr>
              <w:spacing w:before="0" w:after="0"/>
            </w:pPr>
            <w:r>
              <w:rPr>
                <w:rFonts w:ascii="Arial" w:cs="Arial" w:eastAsia="Arial" w:hAnsi="Arial"/>
                <w:color w:val="FFFFFF"/>
                <w:sz w:val="18"/>
                <w:szCs w:val="18"/>
              </w:rPr>
              <w:t xml:space="preserve">Coordination des entités</w:t>
            </w:r>
          </w:p>
        </w:tc>
        <w:tc>
          <w:tcPr>
            <w:tcBorders>
              <w:top w:val="none" w:color="FFFFFF" w:sz="0"/>
              <w:left w:val="none" w:color="FFFFFF" w:sz="0"/>
              <w:bottom w:val="none" w:color="FFFFFF" w:sz="0"/>
              <w:right w:val="none" w:color="FFFFFF" w:sz="0"/>
            </w:tcBorders>
            <w:shd w:fill="4A7C59" w:val="clear"/>
            <w:tcMar>
              <w:top w:type="dxa" w:w="140"/>
              <w:left w:type="dxa" w:w="200"/>
              <w:bottom w:type="dxa" w:w="140"/>
              <w:right w:type="dxa" w:w="200"/>
            </w:tcMar>
          </w:tcPr>
          <w:p>
            <w:pPr>
              <w:spacing w:before="0" w:after="40"/>
            </w:pPr>
            <w:r>
              <w:rPr>
                <w:rFonts w:ascii="Arial" w:cs="Arial" w:eastAsia="Arial" w:hAnsi="Arial"/>
                <w:b w:val="false"/>
                <w:bCs w:val="false"/>
                <w:color w:val="FFCCBB"/>
                <w:sz w:val="16"/>
                <w:szCs w:val="16"/>
              </w:rPr>
              <w:t xml:space="preserve">Axe 3</w:t>
            </w:r>
          </w:p>
          <w:p>
            <w:pPr>
              <w:spacing w:before="0" w:after="40"/>
            </w:pPr>
            <w:r>
              <w:rPr>
                <w:rFonts w:ascii="Arial" w:cs="Arial" w:eastAsia="Arial" w:hAnsi="Arial"/>
                <w:b/>
                <w:bCs/>
                <w:color w:val="FFFFFF"/>
                <w:sz w:val="24"/>
                <w:szCs w:val="24"/>
              </w:rPr>
              <w:t xml:space="preserve">Silicon Valley</w:t>
            </w:r>
          </w:p>
          <w:p>
            <w:pPr>
              <w:spacing w:before="0" w:after="0"/>
            </w:pPr>
            <w:r>
              <w:rPr>
                <w:rFonts w:ascii="Arial" w:cs="Arial" w:eastAsia="Arial" w:hAnsi="Arial"/>
                <w:color w:val="FFFFFF"/>
                <w:sz w:val="18"/>
                <w:szCs w:val="18"/>
              </w:rPr>
              <w:t xml:space="preserve">Écosystème startups africaines</w:t>
            </w:r>
          </w:p>
        </w:tc>
      </w:tr>
    </w:tbl>
    <w:p>
      <w:pPr>
        <w:spacing w:before="0" w:after="240"/>
      </w:pPr>
    </w:p>
    <w:p>
      <w:pPr>
        <w:pBdr>
          <w:bottom w:val="single" w:color="C4614A" w:sz="4" w:space="4"/>
        </w:pBdr>
        <w:spacing w:before="360" w:after="120"/>
      </w:pPr>
      <w:r>
        <w:rPr>
          <w:rFonts w:ascii="Arial" w:cs="Arial" w:eastAsia="Arial" w:hAnsi="Arial"/>
          <w:b/>
          <w:bCs/>
          <w:color w:val="C4614A"/>
          <w:sz w:val="28"/>
          <w:szCs w:val="28"/>
        </w:rPr>
        <w:t xml:space="preserve">02  W Application — Mon dossier naturel</w:t>
      </w:r>
    </w:p>
    <w:p>
      <w:pPr>
        <w:spacing w:before="0" w:after="120"/>
        <w:jc w:val="left"/>
      </w:pPr>
      <w:r>
        <w:rPr>
          <w:rFonts w:ascii="Arial" w:cs="Arial" w:eastAsia="Arial" w:hAnsi="Arial"/>
          <w:b w:val="false"/>
          <w:bCs w:val="false"/>
          <w:i w:val="false"/>
          <w:iCs w:val="false"/>
          <w:color w:val="1A1A1A"/>
          <w:sz w:val="22"/>
          <w:szCs w:val="22"/>
        </w:rPr>
        <w:t xml:space="preserve">Le projet WeChat africain est le chantier le plus complexe et le plus stratégique de TWG. Il nécessite exactement les compétences que j'ai développées depuis 10 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0"/>
        <w:gridCol w:w="4958"/>
      </w:tblGrid>
      <w:tr>
        <w:tc>
          <w:tcPr>
            <w:tcBorders>
              <w:top w:val="none" w:color="FFFFFF" w:sz="0"/>
              <w:left w:val="none" w:color="FFFFFF" w:sz="0"/>
              <w:bottom w:val="none" w:color="FFFFFF" w:sz="0"/>
              <w:right w:val="none" w:color="FFFFFF" w:sz="0"/>
            </w:tcBorders>
            <w:shd w:fill="F0EBE6" w:val="clear"/>
            <w:tcMar>
              <w:top w:type="dxa" w:w="100"/>
              <w:left w:type="dxa" w:w="180"/>
              <w:bottom w:type="dxa" w:w="100"/>
              <w:right w:type="dxa" w:w="180"/>
            </w:tcMar>
          </w:tcPr>
          <w:p>
            <w:pPr>
              <w:spacing w:before="0" w:after="0"/>
            </w:pPr>
            <w:r>
              <w:rPr>
                <w:rFonts w:ascii="Arial" w:cs="Arial" w:eastAsia="Arial" w:hAnsi="Arial"/>
                <w:b/>
                <w:bCs/>
                <w:color w:val="C4614A"/>
                <w:spacing w:val="80"/>
                <w:sz w:val="18"/>
                <w:szCs w:val="18"/>
              </w:rPr>
              <w:t xml:space="preserve">CE QUE TWG A BESOIN</w:t>
            </w:r>
          </w:p>
        </w:tc>
        <w:tc>
          <w:tcPr>
            <w:tcBorders>
              <w:top w:val="none" w:color="FFFFFF" w:sz="0"/>
              <w:left w:val="none" w:color="FFFFFF" w:sz="0"/>
              <w:bottom w:val="none" w:color="FFFFFF" w:sz="0"/>
              <w:right w:val="none" w:color="FFFFFF" w:sz="0"/>
            </w:tcBorders>
            <w:shd w:fill="E8E0D8" w:val="clear"/>
            <w:tcMar>
              <w:top w:type="dxa" w:w="100"/>
              <w:left w:type="dxa" w:w="180"/>
              <w:bottom w:type="dxa" w:w="100"/>
              <w:right w:type="dxa" w:w="180"/>
            </w:tcMar>
          </w:tcPr>
          <w:p>
            <w:pPr>
              <w:spacing w:before="0" w:after="0"/>
            </w:pPr>
            <w:r>
              <w:rPr>
                <w:rFonts w:ascii="Arial" w:cs="Arial" w:eastAsia="Arial" w:hAnsi="Arial"/>
                <w:b/>
                <w:bCs/>
                <w:color w:val="1A1A1A"/>
                <w:spacing w:val="80"/>
                <w:sz w:val="18"/>
                <w:szCs w:val="18"/>
              </w:rPr>
              <w:t xml:space="preserve">CE QUE J'APPORTE</w:t>
            </w:r>
          </w:p>
        </w:tc>
      </w:tr>
      <w:tr>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color w:val="1A1A1A"/>
                <w:sz w:val="21"/>
                <w:szCs w:val="21"/>
              </w:rPr>
              <w:t xml:space="preserve">Roadmap produit claire</w:t>
            </w:r>
          </w:p>
        </w:tc>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b/>
                <w:bCs/>
                <w:color w:val="4A7C59"/>
                <w:sz w:val="21"/>
                <w:szCs w:val="21"/>
              </w:rPr>
              <w:t xml:space="preserve">→ Pilotage MES chez 3SP — KPIs, roadmap, sprints</w:t>
            </w:r>
          </w:p>
        </w:tc>
      </w:tr>
      <w:tr>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color w:val="1A1A1A"/>
                <w:sz w:val="21"/>
                <w:szCs w:val="21"/>
              </w:rPr>
              <w:t xml:space="preserve">Cahiers des charges fonctionnels</w:t>
            </w:r>
          </w:p>
        </w:tc>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b/>
                <w:bCs/>
                <w:color w:val="4A7C59"/>
                <w:sz w:val="21"/>
                <w:szCs w:val="21"/>
              </w:rPr>
              <w:t xml:space="preserve">→ Rédaction CDC et specs (Nexali OS interne)</w:t>
            </w:r>
          </w:p>
        </w:tc>
      </w:tr>
      <w:tr>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color w:val="1A1A1A"/>
                <w:sz w:val="21"/>
                <w:szCs w:val="21"/>
              </w:rPr>
              <w:t xml:space="preserve">Coordination équipes tech/métier</w:t>
            </w:r>
          </w:p>
        </w:tc>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b/>
                <w:bCs/>
                <w:color w:val="4A7C59"/>
                <w:sz w:val="21"/>
                <w:szCs w:val="21"/>
              </w:rPr>
              <w:t xml:space="preserve">→ Chef d'équipe 10 personnes, méthodes agiles Jira/Trello</w:t>
            </w:r>
          </w:p>
        </w:tc>
      </w:tr>
      <w:tr>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color w:val="1A1A1A"/>
                <w:sz w:val="21"/>
                <w:szCs w:val="21"/>
              </w:rPr>
              <w:t xml:space="preserve">Benchmark des super-apps africaines</w:t>
            </w:r>
          </w:p>
        </w:tc>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b/>
                <w:bCs/>
                <w:color w:val="4A7C59"/>
                <w:sz w:val="21"/>
                <w:szCs w:val="21"/>
              </w:rPr>
              <w:t xml:space="preserve">→ Veille concurrentielle IA (Nexali Platform)</w:t>
            </w:r>
          </w:p>
        </w:tc>
      </w:tr>
      <w:tr>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color w:val="1A1A1A"/>
                <w:sz w:val="21"/>
                <w:szCs w:val="21"/>
              </w:rPr>
              <w:t xml:space="preserve">UX des modules (commande, paiement)</w:t>
            </w:r>
          </w:p>
        </w:tc>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b/>
                <w:bCs/>
                <w:color w:val="4A7C59"/>
                <w:sz w:val="21"/>
                <w:szCs w:val="21"/>
              </w:rPr>
              <w:t xml:space="preserve">→ UX/UI, wireframing, Figma — formation École 42</w:t>
            </w:r>
          </w:p>
        </w:tc>
      </w:tr>
      <w:tr>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color w:val="1A1A1A"/>
                <w:sz w:val="21"/>
                <w:szCs w:val="21"/>
              </w:rPr>
              <w:t xml:space="preserve">Onboarding des PME africaines</w:t>
            </w:r>
          </w:p>
        </w:tc>
        <w:tc>
          <w:tcPr>
            <w:tcBorders>
              <w:top w:val="single" w:color="E0D8D0" w:sz="1"/>
              <w:left w:val="none" w:color="FFFFFF" w:sz="0"/>
              <w:bottom w:val="single" w:color="E0D8D0" w:sz="1"/>
              <w:right w:val="none" w:color="FFFFFF" w:sz="0"/>
            </w:tcBorders>
            <w:shd w:fill="FFFFFF" w:val="clear"/>
            <w:tcMar>
              <w:top w:type="dxa" w:w="80"/>
              <w:left w:type="dxa" w:w="180"/>
              <w:bottom w:type="dxa" w:w="80"/>
              <w:right w:type="dxa" w:w="180"/>
            </w:tcMar>
          </w:tcPr>
          <w:p>
            <w:pPr>
              <w:spacing w:before="0" w:after="0"/>
            </w:pPr>
            <w:r>
              <w:rPr>
                <w:rFonts w:ascii="Arial" w:cs="Arial" w:eastAsia="Arial" w:hAnsi="Arial"/>
                <w:b/>
                <w:bCs/>
                <w:color w:val="4A7C59"/>
                <w:sz w:val="21"/>
                <w:szCs w:val="21"/>
              </w:rPr>
              <w:t xml:space="preserve">→ Audit maturité digitale, questionnaire pré-audit Nexali</w:t>
            </w:r>
          </w:p>
        </w:tc>
      </w:tr>
    </w:tbl>
    <w:p>
      <w:pPr>
        <w:spacing w:before="0" w:after="240"/>
      </w:pPr>
    </w:p>
    <w:p>
      <w:pPr>
        <w:pBdr>
          <w:bottom w:val="single" w:color="C4614A" w:sz="4" w:space="4"/>
        </w:pBdr>
        <w:spacing w:before="360" w:after="120"/>
      </w:pPr>
      <w:r>
        <w:rPr>
          <w:rFonts w:ascii="Arial" w:cs="Arial" w:eastAsia="Arial" w:hAnsi="Arial"/>
          <w:b/>
          <w:bCs/>
          <w:color w:val="C4614A"/>
          <w:sz w:val="28"/>
          <w:szCs w:val="28"/>
        </w:rPr>
        <w:t xml:space="preserve">03  Nexali Consulting — Actif ou Apport ?</w:t>
      </w:r>
    </w:p>
    <w:p>
      <w:pPr>
        <w:spacing w:before="0" w:after="160"/>
        <w:jc w:val="left"/>
      </w:pPr>
      <w:r>
        <w:rPr>
          <w:rFonts w:ascii="Arial" w:cs="Arial" w:eastAsia="Arial" w:hAnsi="Arial"/>
          <w:b w:val="false"/>
          <w:bCs w:val="false"/>
          <w:i w:val="false"/>
          <w:iCs w:val="false"/>
          <w:color w:val="1A1A1A"/>
          <w:sz w:val="22"/>
          <w:szCs w:val="22"/>
        </w:rPr>
        <w:t xml:space="preserve">J'ai déjà construit Nexali Consulting : une plateforme SaaS de transformation digitale, avec un OS interne propulsé par IA, un générateur de maquettes, un système d'audit digital et un tunnel de vente complet. Ce projet est directement pertinent pour TWG de deux façons.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0"/>
        <w:gridCol w:w="4958"/>
      </w:tblGrid>
      <w:tr>
        <w:tc>
          <w:tcPr>
            <w:tcBorders>
              <w:top w:val="none" w:color="FFFFFF" w:sz="0"/>
              <w:left w:val="single" w:color="C4614A" w:sz="8"/>
              <w:bottom w:val="none" w:color="FFFFFF" w:sz="0"/>
              <w:right w:val="none" w:color="FFFFFF" w:sz="0"/>
            </w:tcBorders>
            <w:shd w:fill="FDF5F0" w:val="clear"/>
            <w:tcMar>
              <w:top w:type="dxa" w:w="160"/>
              <w:left w:type="dxa" w:w="240"/>
              <w:bottom w:type="dxa" w:w="160"/>
              <w:right w:type="dxa" w:w="200"/>
            </w:tcMar>
          </w:tcPr>
          <w:p>
            <w:pPr>
              <w:spacing w:before="0" w:after="100"/>
            </w:pPr>
            <w:r>
              <w:rPr>
                <w:rFonts w:ascii="Arial" w:cs="Arial" w:eastAsia="Arial" w:hAnsi="Arial"/>
                <w:b/>
                <w:bCs/>
                <w:color w:val="C4614A"/>
                <w:sz w:val="22"/>
                <w:szCs w:val="22"/>
              </w:rPr>
              <w:t xml:space="preserve">Option A — Nexali intégré à TWG</w:t>
            </w:r>
          </w:p>
          <w:p>
            <w:pPr>
              <w:spacing w:before="0" w:after="100"/>
            </w:pPr>
            <w:r>
              <w:rPr>
                <w:rFonts w:ascii="Arial" w:cs="Arial" w:eastAsia="Arial" w:hAnsi="Arial"/>
                <w:color w:val="555555"/>
                <w:sz w:val="20"/>
                <w:szCs w:val="20"/>
              </w:rPr>
              <w:t xml:space="preserve">Les outils Nexali (audit digital, générateur de maquettes, questionnaire pré-audit) deviennent les outils d'onboarding des PME africaines sur W Application. Nexali devient une brique tech du Groupe.</w:t>
            </w:r>
          </w:p>
          <w:p>
            <w:pPr>
              <w:spacing w:before="0" w:after="0"/>
            </w:pPr>
            <w:r>
              <w:rPr>
                <w:rFonts w:ascii="Arial" w:cs="Arial" w:eastAsia="Arial" w:hAnsi="Arial"/>
                <w:b/>
                <w:bCs/>
                <w:color w:val="C4614A"/>
                <w:sz w:val="20"/>
                <w:szCs w:val="20"/>
              </w:rPr>
              <w:t xml:space="preserve">Avantage : accélération immédiate sur le Pôle Silicon Valley, outil déjà fonctionnel.</w:t>
            </w:r>
          </w:p>
        </w:tc>
        <w:tc>
          <w:tcPr>
            <w:tcBorders>
              <w:top w:val="none" w:color="FFFFFF" w:sz="0"/>
              <w:left w:val="single" w:color="C9A84C" w:sz="8"/>
              <w:bottom w:val="none" w:color="FFFFFF" w:sz="0"/>
              <w:right w:val="none" w:color="FFFFFF" w:sz="0"/>
            </w:tcBorders>
            <w:shd w:fill="FDFAF0" w:val="clear"/>
            <w:tcMar>
              <w:top w:type="dxa" w:w="160"/>
              <w:left w:type="dxa" w:w="240"/>
              <w:bottom w:type="dxa" w:w="160"/>
              <w:right w:type="dxa" w:w="200"/>
            </w:tcMar>
          </w:tcPr>
          <w:p>
            <w:pPr>
              <w:spacing w:before="0" w:after="100"/>
            </w:pPr>
            <w:r>
              <w:rPr>
                <w:rFonts w:ascii="Arial" w:cs="Arial" w:eastAsia="Arial" w:hAnsi="Arial"/>
                <w:b/>
                <w:bCs/>
                <w:color w:val="A08030"/>
                <w:sz w:val="22"/>
                <w:szCs w:val="22"/>
              </w:rPr>
              <w:t xml:space="preserve">Option B — Nexali indépendant + Consultante TWG</w:t>
            </w:r>
          </w:p>
          <w:p>
            <w:pPr>
              <w:spacing w:before="0" w:after="100"/>
            </w:pPr>
            <w:r>
              <w:rPr>
                <w:rFonts w:ascii="Arial" w:cs="Arial" w:eastAsia="Arial" w:hAnsi="Arial"/>
                <w:color w:val="555555"/>
                <w:sz w:val="20"/>
                <w:szCs w:val="20"/>
              </w:rPr>
              <w:t xml:space="preserve">Je continue à développer Nexali en parallèle (revenus passifs SaaS) et j'interviens dans TWG comme Chef de Projet sur W Application et la coordination des business plans.</w:t>
            </w:r>
          </w:p>
          <w:p>
            <w:pPr>
              <w:spacing w:before="0" w:after="0"/>
            </w:pPr>
            <w:r>
              <w:rPr>
                <w:rFonts w:ascii="Arial" w:cs="Arial" w:eastAsia="Arial" w:hAnsi="Arial"/>
                <w:b/>
                <w:bCs/>
                <w:color w:val="A08030"/>
                <w:sz w:val="20"/>
                <w:szCs w:val="20"/>
              </w:rPr>
              <w:t xml:space="preserve">Avantage : deux sources de valeur distinctes, Nexali reste un actif entrepreneurial personnel.</w:t>
            </w:r>
          </w:p>
        </w:tc>
      </w:tr>
    </w:tbl>
    <w:p>
      <w:pPr>
        <w:spacing w:before="0" w:after="240"/>
      </w:pPr>
    </w:p>
    <w:p>
      <w:pPr>
        <w:pBdr>
          <w:bottom w:val="single" w:color="C4614A" w:sz="4" w:space="4"/>
        </w:pBdr>
        <w:spacing w:before="360" w:after="120"/>
      </w:pPr>
      <w:r>
        <w:rPr>
          <w:rFonts w:ascii="Arial" w:cs="Arial" w:eastAsia="Arial" w:hAnsi="Arial"/>
          <w:b/>
          <w:bCs/>
          <w:color w:val="C4614A"/>
          <w:sz w:val="28"/>
          <w:szCs w:val="28"/>
        </w:rPr>
        <w:t xml:space="preserve">04  Ce que je ne suis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none" w:color="FFFFFF" w:sz="0"/>
              <w:left w:val="none" w:color="FFFFFF" w:sz="0"/>
              <w:bottom w:val="none" w:color="FFFFFF" w:sz="0"/>
              <w:right w:val="none" w:color="FFFFFF" w:sz="0"/>
            </w:tcBorders>
            <w:shd w:fill="FFF0EE" w:val="clear"/>
            <w:tcMar>
              <w:top w:type="dxa" w:w="160"/>
              <w:left w:type="dxa" w:w="280"/>
              <w:bottom w:type="dxa" w:w="160"/>
              <w:right w:type="dxa" w:w="280"/>
            </w:tcMar>
          </w:tcPr>
          <w:p>
            <w:pPr>
              <w:spacing w:before="0" w:after="80"/>
            </w:pPr>
            <w:r>
              <w:rPr>
                <w:rFonts w:ascii="Arial" w:cs="Arial" w:eastAsia="Arial" w:hAnsi="Arial"/>
                <w:b/>
                <w:bCs/>
                <w:color w:val="C4614A"/>
                <w:sz w:val="22"/>
                <w:szCs w:val="22"/>
              </w:rPr>
              <w:t xml:space="preserve">Mon rôle n'est pas d'être secrétaire ou assistante administrative du Groupe.</w:t>
            </w:r>
          </w:p>
          <w:p>
            <w:pPr>
              <w:spacing w:before="0" w:after="0"/>
            </w:pPr>
            <w:r>
              <w:rPr>
                <w:rFonts w:ascii="Arial" w:cs="Arial" w:eastAsia="Arial" w:hAnsi="Arial"/>
                <w:color w:val="555555"/>
                <w:sz w:val="22"/>
                <w:szCs w:val="22"/>
              </w:rPr>
              <w:t xml:space="preserve">Mon rôle est de traduire la vision stratégique de TWG en architecture produit et en résultats mesurables — avec les méthodes, les outils et l'expérience d'un vrai chef de projet digital.</w:t>
            </w:r>
          </w:p>
        </w:tc>
      </w:tr>
    </w:tbl>
    <w:p>
      <w:pPr>
        <w:spacing w:before="0" w:after="240"/>
      </w:pPr>
    </w:p>
    <w:p>
      <w:pPr>
        <w:pBdr>
          <w:bottom w:val="single" w:color="C4614A" w:sz="4" w:space="4"/>
        </w:pBdr>
        <w:spacing w:before="360" w:after="120"/>
      </w:pPr>
      <w:r>
        <w:rPr>
          <w:rFonts w:ascii="Arial" w:cs="Arial" w:eastAsia="Arial" w:hAnsi="Arial"/>
          <w:b/>
          <w:bCs/>
          <w:color w:val="C4614A"/>
          <w:sz w:val="28"/>
          <w:szCs w:val="28"/>
        </w:rPr>
        <w:t xml:space="preserve">05  Ce que je propose de livrer — les 90 premiers jours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c>
          <w:tcPr>
            <w:tcBorders>
              <w:top w:val="none" w:color="FFFFFF" w:sz="0"/>
              <w:left w:val="none" w:color="FFFFFF" w:sz="0"/>
              <w:bottom w:val="none" w:color="FFFFFF" w:sz="0"/>
              <w:right w:val="none" w:color="FFFFFF" w:sz="0"/>
            </w:tcBorders>
            <w:shd w:fill="C4614A"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20"/>
                <w:szCs w:val="20"/>
              </w:rPr>
              <w:t xml:space="preserve">Mois 1</w:t>
            </w:r>
          </w:p>
        </w:tc>
        <w:tc>
          <w:tcPr>
            <w:tcBorders>
              <w:top w:val="single" w:color="E0E0E0" w:sz="1"/>
              <w:left w:val="none" w:color="FFFFFF" w:sz="0"/>
              <w:bottom w:val="single" w:color="E0E0E0" w:sz="1"/>
              <w:right w:val="none" w:color="FFFFFF" w:sz="0"/>
            </w:tcBorders>
            <w:shd w:fill="FFFFFF" w:val="clear"/>
            <w:tcMar>
              <w:top w:type="dxa" w:w="120"/>
              <w:left w:type="dxa" w:w="200"/>
              <w:bottom w:type="dxa" w:w="120"/>
              <w:right w:type="dxa" w:w="160"/>
            </w:tcMar>
          </w:tcPr>
          <w:p>
            <w:pPr>
              <w:spacing w:before="0" w:after="0"/>
            </w:pPr>
            <w:r>
              <w:rPr>
                <w:rFonts w:ascii="Arial" w:cs="Arial" w:eastAsia="Arial" w:hAnsi="Arial"/>
                <w:color w:val="1A1A1A"/>
                <w:sz w:val="21"/>
                <w:szCs w:val="21"/>
              </w:rPr>
              <w:t xml:space="preserve">Audit complet de W Application — benchmark super-apps africaines (M-Pesa, Wave, OPay), cahier des charges fonctionnel V1, identification des partenaires tech.</w:t>
            </w:r>
          </w:p>
        </w:tc>
      </w:tr>
      <w:tr>
        <w:tc>
          <w:tcPr>
            <w:tcBorders>
              <w:top w:val="none" w:color="FFFFFF" w:sz="0"/>
              <w:left w:val="none" w:color="FFFFFF" w:sz="0"/>
              <w:bottom w:val="none" w:color="FFFFFF" w:sz="0"/>
              <w:right w:val="none" w:color="FFFFFF" w:sz="0"/>
            </w:tcBorders>
            <w:shd w:fill="C9A84C"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20"/>
                <w:szCs w:val="20"/>
              </w:rPr>
              <w:t xml:space="preserve">Mois 2</w:t>
            </w:r>
          </w:p>
        </w:tc>
        <w:tc>
          <w:tcPr>
            <w:tcBorders>
              <w:top w:val="single" w:color="E0E0E0" w:sz="1"/>
              <w:left w:val="none" w:color="FFFFFF" w:sz="0"/>
              <w:bottom w:val="single" w:color="E0E0E0" w:sz="1"/>
              <w:right w:val="none" w:color="FFFFFF" w:sz="0"/>
            </w:tcBorders>
            <w:shd w:fill="FFFFFF" w:val="clear"/>
            <w:tcMar>
              <w:top w:type="dxa" w:w="120"/>
              <w:left w:type="dxa" w:w="200"/>
              <w:bottom w:type="dxa" w:w="120"/>
              <w:right w:type="dxa" w:w="160"/>
            </w:tcMar>
          </w:tcPr>
          <w:p>
            <w:pPr>
              <w:spacing w:before="0" w:after="0"/>
            </w:pPr>
            <w:r>
              <w:rPr>
                <w:rFonts w:ascii="Arial" w:cs="Arial" w:eastAsia="Arial" w:hAnsi="Arial"/>
                <w:color w:val="1A1A1A"/>
                <w:sz w:val="21"/>
                <w:szCs w:val="21"/>
              </w:rPr>
              <w:t xml:space="preserve">Coordination des business plans des entités — template standardisé, suivi des livrables par DG, consolidation financière (support au pôle Finance).</w:t>
            </w:r>
          </w:p>
        </w:tc>
      </w:tr>
      <w:tr>
        <w:tc>
          <w:tcPr>
            <w:tcBorders>
              <w:top w:val="none" w:color="FFFFFF" w:sz="0"/>
              <w:left w:val="none" w:color="FFFFFF" w:sz="0"/>
              <w:bottom w:val="none" w:color="FFFFFF" w:sz="0"/>
              <w:right w:val="none" w:color="FFFFFF" w:sz="0"/>
            </w:tcBorders>
            <w:shd w:fill="4A7C59" w:val="clear"/>
            <w:tcMar>
              <w:top w:type="dxa" w:w="120"/>
              <w:left w:type="dxa" w:w="160"/>
              <w:bottom w:type="dxa" w:w="120"/>
              <w:right w:type="dxa" w:w="160"/>
            </w:tcMar>
            <w:vAlign w:val="center"/>
          </w:tcPr>
          <w:p>
            <w:pPr>
              <w:spacing w:before="0" w:after="0"/>
              <w:jc w:val="center"/>
            </w:pPr>
            <w:r>
              <w:rPr>
                <w:rFonts w:ascii="Arial" w:cs="Arial" w:eastAsia="Arial" w:hAnsi="Arial"/>
                <w:b/>
                <w:bCs/>
                <w:color w:val="FFFFFF"/>
                <w:sz w:val="20"/>
                <w:szCs w:val="20"/>
              </w:rPr>
              <w:t xml:space="preserve">Mois 3</w:t>
            </w:r>
          </w:p>
        </w:tc>
        <w:tc>
          <w:tcPr>
            <w:tcBorders>
              <w:top w:val="single" w:color="E0E0E0" w:sz="1"/>
              <w:left w:val="none" w:color="FFFFFF" w:sz="0"/>
              <w:bottom w:val="single" w:color="E0E0E0" w:sz="1"/>
              <w:right w:val="none" w:color="FFFFFF" w:sz="0"/>
            </w:tcBorders>
            <w:shd w:fill="FFFFFF" w:val="clear"/>
            <w:tcMar>
              <w:top w:type="dxa" w:w="120"/>
              <w:left w:type="dxa" w:w="200"/>
              <w:bottom w:type="dxa" w:w="120"/>
              <w:right w:type="dxa" w:w="160"/>
            </w:tcMar>
          </w:tcPr>
          <w:p>
            <w:pPr>
              <w:spacing w:before="0" w:after="0"/>
            </w:pPr>
            <w:r>
              <w:rPr>
                <w:rFonts w:ascii="Arial" w:cs="Arial" w:eastAsia="Arial" w:hAnsi="Arial"/>
                <w:color w:val="1A1A1A"/>
                <w:sz w:val="21"/>
                <w:szCs w:val="21"/>
              </w:rPr>
              <w:t xml:space="preserve">Lancement Pôle Silicon Valley — critères de sélection des startups, premiers contacts écoles/universités à Abidjan et Brazzaville, structuration de l'écosystème.</w:t>
            </w:r>
          </w:p>
        </w:tc>
      </w:tr>
    </w:tbl>
    <w:p>
      <w:pPr>
        <w:spacing w:before="0"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0"/>
        <w:gridCol w:w="3138"/>
      </w:tblGrid>
      <w:tr>
        <w:tc>
          <w:tcPr>
            <w:tcBorders>
              <w:top w:val="none" w:color="FFFFFF" w:sz="0"/>
              <w:left w:val="none" w:color="FFFFFF" w:sz="0"/>
              <w:bottom w:val="none" w:color="FFFFFF" w:sz="0"/>
              <w:right w:val="none" w:color="FFFFFF" w:sz="0"/>
            </w:tcBorders>
            <w:shd w:fill="1A1A1A" w:val="clear"/>
            <w:tcMar>
              <w:top w:type="dxa" w:w="180"/>
              <w:left w:type="dxa" w:w="280"/>
              <w:bottom w:type="dxa" w:w="180"/>
              <w:right w:type="dxa" w:w="200"/>
            </w:tcMar>
          </w:tcPr>
          <w:p>
            <w:pPr>
              <w:spacing w:before="0" w:after="60"/>
            </w:pPr>
            <w:r>
              <w:rPr>
                <w:rFonts w:ascii="Arial" w:cs="Arial" w:eastAsia="Arial" w:hAnsi="Arial"/>
                <w:b/>
                <w:bCs/>
                <w:color w:val="FFFFFF"/>
                <w:sz w:val="24"/>
                <w:szCs w:val="24"/>
              </w:rPr>
              <w:t xml:space="preserve">Relia Ebiya</w:t>
            </w:r>
          </w:p>
          <w:p>
            <w:pPr>
              <w:spacing w:before="0" w:after="60"/>
            </w:pPr>
            <w:r>
              <w:rPr>
                <w:rFonts w:ascii="Arial" w:cs="Arial" w:eastAsia="Arial" w:hAnsi="Arial"/>
                <w:color w:val="AAAAAA"/>
                <w:sz w:val="18"/>
                <w:szCs w:val="18"/>
              </w:rPr>
              <w:t xml:space="preserve">Chef de Projet Digital · Fondatrice Nexali Consulting</w:t>
            </w:r>
          </w:p>
          <w:p>
            <w:pPr>
              <w:spacing w:before="0" w:after="0"/>
            </w:pPr>
            <w:r>
              <w:rPr>
                <w:rFonts w:ascii="Arial" w:cs="Arial" w:eastAsia="Arial" w:hAnsi="Arial"/>
                <w:color w:val="888888"/>
                <w:sz w:val="18"/>
                <w:szCs w:val="18"/>
              </w:rPr>
              <w:t xml:space="preserve">relia.ebiya@gmail.com  ·  +33 7 86 62 04 09  ·  nexali.ai</w:t>
            </w:r>
          </w:p>
        </w:tc>
        <w:tc>
          <w:tcPr>
            <w:tcBorders>
              <w:top w:val="none" w:color="FFFFFF" w:sz="0"/>
              <w:left w:val="none" w:color="FFFFFF" w:sz="0"/>
              <w:bottom w:val="none" w:color="FFFFFF" w:sz="0"/>
              <w:right w:val="none" w:color="FFFFFF" w:sz="0"/>
            </w:tcBorders>
            <w:shd w:fill="C4614A" w:val="clear"/>
            <w:tcMar>
              <w:top w:type="dxa" w:w="180"/>
              <w:left w:type="dxa" w:w="200"/>
              <w:bottom w:type="dxa" w:w="180"/>
              <w:right w:type="dxa" w:w="280"/>
            </w:tcMar>
            <w:vAlign w:val="center"/>
          </w:tcPr>
          <w:p>
            <w:pPr>
              <w:spacing w:before="0" w:after="40"/>
              <w:jc w:val="center"/>
            </w:pPr>
            <w:r>
              <w:rPr>
                <w:rFonts w:ascii="Arial" w:cs="Arial" w:eastAsia="Arial" w:hAnsi="Arial"/>
                <w:color w:val="FFFFFF"/>
                <w:sz w:val="18"/>
                <w:szCs w:val="18"/>
              </w:rPr>
              <w:t xml:space="preserve">Vitry-sur-Seine</w:t>
            </w:r>
          </w:p>
          <w:p>
            <w:pPr>
              <w:spacing w:before="0" w:after="0"/>
              <w:jc w:val="center"/>
            </w:pPr>
            <w:r>
              <w:rPr>
                <w:rFonts w:ascii="Arial" w:cs="Arial" w:eastAsia="Arial" w:hAnsi="Arial"/>
                <w:color w:val="FFD9C4"/>
                <w:sz w:val="18"/>
                <w:szCs w:val="18"/>
              </w:rPr>
              <w:t xml:space="preserve">France · Congo · Abidjan</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rFonts w:ascii="Arial" w:cs="Arial" w:eastAsia="Arial" w:hAnsi="Arial"/>
        <w:color w:val="C4614A"/>
        <w:sz w:val="21"/>
        <w:szCs w:val="21"/>
      </w:rPr>
    </w:lvl>
  </w:abstractNum>
  <w:abstractNum w:abstractNumId="3" w15:restartNumberingAfterBreak="0">
    <w:multiLevelType w:val="hybridMultilevel"/>
    <w:lvl w:ilvl="0" w15:tentative="1">
      <w:start w:val="1"/>
      <w:numFmt w:val="bullet"/>
      <w:lvlText w:val="✓"/>
      <w:lvlJc w:val="left"/>
      <w:pPr>
        <w:ind w:left="540" w:hanging="300"/>
      </w:pPr>
      <w:rPr>
        <w:rFonts w:ascii="Arial" w:cs="Arial" w:eastAsia="Arial" w:hAnsi="Arial"/>
        <w:color w:val="4A7C59"/>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2026-03-26T21:56:31.405Z</dcterms:created>
  <dcterms:modified xsi:type="dcterms:W3CDTF">2026-03-26T21:56:31.405Z</dcterms:modified>
</cp:coreProperties>
</file>

<file path=docProps/custom.xml><?xml version="1.0" encoding="utf-8"?>
<Properties xmlns="http://schemas.openxmlformats.org/officeDocument/2006/custom-properties" xmlns:vt="http://schemas.openxmlformats.org/officeDocument/2006/docPropsVTypes"/>
</file>