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0"/>
          <w:szCs w:val="40"/>
        </w:rPr>
        <w:t xml:space="preserve">AI Design Project</w:t>
      </w:r>
    </w:p>
    <w:p>
      <w:pPr>
        <w:spacing w:after="80"/>
        <w:jc w:val="center"/>
      </w:pPr>
      <w:r>
        <w:rPr>
          <w:rFonts w:ascii="Arial" w:cs="Arial" w:eastAsia="Arial" w:hAnsi="Arial"/>
          <w:color w:val="2C3E50"/>
          <w:sz w:val="34"/>
          <w:szCs w:val="34"/>
        </w:rPr>
        <w:t xml:space="preserve">Grading Assessment</w:t>
      </w:r>
    </w:p>
    <w:p>
      <w:pPr>
        <w:spacing w:after="300"/>
        <w:jc w:val="center"/>
      </w:pPr>
      <w:r>
        <w:rPr>
          <w:rFonts w:ascii="Arial" w:cs="Arial" w:eastAsia="Arial" w:hAnsi="Arial"/>
          <w:color w:val="7F8C8D"/>
          <w:sz w:val="22"/>
          <w:szCs w:val="22"/>
        </w:rPr>
        <w:t xml:space="preserve">Designing Large Scale AI Systems – University of Trento</w:t>
      </w:r>
    </w:p>
    <w:p>
      <w:pPr>
        <w:pStyle w:val="Heading1"/>
      </w:pPr>
      <w:r>
        <w:rPr>
          <w:rFonts w:ascii="Arial" w:cs="Arial" w:eastAsia="Arial" w:hAnsi="Arial"/>
        </w:rPr>
        <w:t xml:space="preserve">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Student</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&amp;
Prototypes</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Experiments
&amp; Analysis</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
cation</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Matteo Costalonga</w:t>
            </w:r>
            <w:r>
              <w:rPr>
                <w:rFonts w:ascii="Arial" w:cs="Arial" w:eastAsia="Arial" w:hAnsi="Arial"/>
                <w:color w:val="7F8C8D"/>
                <w:sz w:val="18"/>
                <w:szCs w:val="18"/>
              </w:rPr>
              <w:t xml:space="preserve">
(ai-workflows)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26/30</w:t>
            </w:r>
          </w:p>
        </w:tc>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Excellent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Alex Reichert</w:t>
            </w:r>
            <w:r>
              <w:rPr>
                <w:rFonts w:ascii="Arial" w:cs="Arial" w:eastAsia="Arial" w:hAnsi="Arial"/>
                <w:color w:val="7F8C8D"/>
                <w:sz w:val="18"/>
                <w:szCs w:val="18"/>
              </w:rPr>
              <w:t xml:space="preserve">
(ai-workflows)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8/10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26/30*</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i/>
                <w:iCs/>
                <w:sz w:val="20"/>
                <w:szCs w:val="20"/>
              </w:rPr>
              <w:t xml:space="preserve">See 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Simone Brentan</w:t>
            </w:r>
            <w:r>
              <w:rPr>
                <w:rFonts w:ascii="Arial" w:cs="Arial" w:eastAsia="Arial" w:hAnsi="Arial"/>
                <w:color w:val="7F8C8D"/>
                <w:sz w:val="18"/>
                <w:szCs w:val="18"/>
              </w:rPr>
              <w:t xml:space="preserve">
(tool-calling-opt)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2"/>
                <w:szCs w:val="22"/>
              </w:rPr>
              <w:t xml:space="preserve">27/30</w:t>
            </w:r>
          </w:p>
        </w:tc>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Excellent</w:t>
            </w:r>
          </w:p>
        </w:tc>
      </w:tr>
    </w:tbl>
    <w:p>
      <w:pPr>
        <w:spacing w:after="120"/>
      </w:pPr>
      <w:r>
        <w:rPr>
          <w:rFonts w:ascii="Arial" w:cs="Arial" w:eastAsia="Arial" w:hAnsi="Arial"/>
          <w:b/>
          <w:bCs/>
          <w:i/>
          <w:iCs/>
          <w:sz w:val="20"/>
          <w:szCs w:val="20"/>
        </w:rPr>
        <w:t xml:space="preserve">* Note on Alex Reichert: </w:t>
      </w:r>
      <w:r>
        <w:rPr>
          <w:rFonts w:ascii="Arial" w:cs="Arial" w:eastAsia="Arial" w:hAnsi="Arial"/>
          <w:i/>
          <w:iCs/>
          <w:sz w:val="20"/>
          <w:szCs w:val="20"/>
        </w:rPr>
        <w:t xml:space="preserve">The project score is assessed at the project level (26/30). However, git history shows all 146 commits authored solely by wamuumu (Matteo), with only one commit carrying a co-author tag for Faerye0 (Alex). Individual contribution cannot be verified from the repository alone. The instructor may wish to discuss with both students how work was divided before assigning individual scores.</w:t>
      </w:r>
    </w:p>
    <w:p>
      <w:r>
        <w:br w:type="page"/>
      </w:r>
    </w:p>
    <w:p>
      <w:pPr>
        <w:pStyle w:val="Heading1"/>
      </w:pPr>
      <w:r>
        <w:rPr>
          <w:rFonts w:ascii="Arial" w:cs="Arial" w:eastAsia="Arial" w:hAnsi="Arial"/>
        </w:rPr>
        <w:t xml:space="preserve">Project 1: AI-Workflows</w:t>
      </w:r>
    </w:p>
    <w:p>
      <w:pPr>
        <w:spacing w:after="120"/>
      </w:pPr>
      <w:r>
        <w:rPr>
          <w:rFonts w:ascii="Arial" w:cs="Arial" w:eastAsia="Arial" w:hAnsi="Arial"/>
          <w:b/>
          <w:bCs/>
          <w:sz w:val="22"/>
          <w:szCs w:val="22"/>
        </w:rPr>
        <w:t xml:space="preserve">Students: </w:t>
      </w:r>
      <w:r>
        <w:rPr>
          <w:rFonts w:ascii="Arial" w:cs="Arial" w:eastAsia="Arial" w:hAnsi="Arial"/>
          <w:sz w:val="22"/>
          <w:szCs w:val="22"/>
        </w:rPr>
        <w:t xml:space="preserve">Matteo Costalonga &amp; Alex Reichert</w:t>
      </w:r>
    </w:p>
    <w:p>
      <w:pPr>
        <w:spacing w:after="120"/>
      </w:pPr>
      <w:r>
        <w:rPr>
          <w:rFonts w:ascii="Arial" w:cs="Arial" w:eastAsia="Arial" w:hAnsi="Arial"/>
          <w:b/>
          <w:bCs/>
          <w:sz w:val="22"/>
          <w:szCs w:val="22"/>
        </w:rPr>
        <w:t xml:space="preserve">Repository: </w:t>
      </w:r>
      <w:r>
        <w:rPr>
          <w:rFonts w:ascii="Arial" w:cs="Arial" w:eastAsia="Arial" w:hAnsi="Arial"/>
          <w:sz w:val="22"/>
          <w:szCs w:val="22"/>
        </w:rPr>
        <w:t xml:space="preserve">ai-workflows</w:t>
      </w:r>
    </w:p>
    <w:p>
      <w:pPr>
        <w:spacing w:after="120"/>
      </w:pPr>
      <w:r>
        <w:rPr>
          <w:rFonts w:ascii="Arial" w:cs="Arial" w:eastAsia="Arial" w:hAnsi="Arial"/>
          <w:b/>
          <w:bCs/>
          <w:sz w:val="22"/>
          <w:szCs w:val="22"/>
        </w:rPr>
        <w:t xml:space="preserve">Topic: </w:t>
      </w:r>
      <w:r>
        <w:rPr>
          <w:rFonts w:ascii="Arial" w:cs="Arial" w:eastAsia="Arial" w:hAnsi="Arial"/>
          <w:sz w:val="22"/>
          <w:szCs w:val="22"/>
        </w:rPr>
        <w:t xml:space="preserve">An evaluation framework for LLM-powered workflow generation strategies</w:t>
      </w:r>
    </w:p>
    <w:p>
      <w:pPr>
        <w:spacing w:after="120"/>
      </w:pPr>
      <w:r>
        <w:rPr>
          <w:rFonts w:ascii="Arial" w:cs="Arial" w:eastAsia="Arial" w:hAnsi="Arial"/>
          <w:sz w:val="22"/>
          <w:szCs w:val="22"/>
        </w:rPr>
        <w:t xml:space="preserve">This project presents AI-Workflows, a framework for generating and evaluating executable workflows from natural language using LLMs. It compares three generation strategies (monolithic, incremental, bottom-up), two workflow representations (linear, structured DAGs), three enhancement features (chat clarification, refinement, validation-refinement), and different tool granularity configurations, evaluated across multiple LLM backends.</w:t>
      </w:r>
    </w:p>
    <w:p>
      <w:pPr>
        <w:pStyle w:val="Heading2"/>
      </w:pPr>
      <w:r>
        <w:rPr>
          <w:rFonts w:ascii="Arial" w:cs="Arial" w:eastAsia="Arial" w:hAnsi="Arial"/>
        </w:rPr>
        <w:t xml:space="preserve">1. Design &amp; Prototypes – 9/10</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The project excels in design breadth and depth. Goals are clearly defined with a formal problem statement (workflow generation as a DAG construction problem). The design space is thoroughly explored across multiple orthogonal dimensions: three generation strategies each with distinct architectural rationales, two workflow representations capturing different expressiveness/complexity trade-offs, three enhancement features that can be composed with any strategy, and three toolset granularity levels. Each design choice is motivated by clear reasoning about trade-offs. The implementation is substantial, with a modular ConfigurableOrchestrator, 30+ tools across 12 categories, a pluggable strategy system, and support for multiple LLM backends (Gemini, Cerebras). Multiple working prototypes exist and are sufficient for rigorous testing.</w:t>
      </w:r>
    </w:p>
    <w:p>
      <w:pPr>
        <w:spacing w:after="120"/>
      </w:pPr>
      <w:r>
        <w:rPr>
          <w:rFonts w:ascii="Arial" w:cs="Arial" w:eastAsia="Arial" w:hAnsi="Arial"/>
          <w:b/>
          <w:bCs/>
          <w:sz w:val="22"/>
          <w:szCs w:val="22"/>
        </w:rPr>
        <w:t xml:space="preserve">Minor gaps: </w:t>
      </w:r>
      <w:r>
        <w:rPr>
          <w:rFonts w:ascii="Arial" w:cs="Arial" w:eastAsia="Arial" w:hAnsi="Arial"/>
          <w:sz w:val="22"/>
          <w:szCs w:val="22"/>
        </w:rPr>
        <w:t xml:space="preserve">The bottom-up strategy, while well-conceived, relies on brittle schema constraints that the report itself acknowledges. The project could have explored additional strategies (e.g., plan-then-generate or retrieval-augmented generation for tool selection).</w:t>
      </w:r>
    </w:p>
    <w:p>
      <w:pPr>
        <w:pStyle w:val="Heading2"/>
      </w:pPr>
      <w:r>
        <w:rPr>
          <w:rFonts w:ascii="Arial" w:cs="Arial" w:eastAsia="Arial" w:hAnsi="Arial"/>
        </w:rPr>
        <w:t xml:space="preserve">2. Experiments &amp; Analysis – 8/10</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The evaluation design is systematic and hypothesis-driven. Six structured experiments are documented, each with clear variables and expected outcomes. The metrics suite is multi-dimensional (robustness, consistency, correctness, intent resolution, reasoning coherence, efficiency), going well beyond simple accuracy. The metrics spreadsheet is sophisticated, with 12 experiment sheets, pairwise similarity matrices, and weighted composite scores. The report includes honest discussion of limitations: context degradation in the incremental strategy, task incomprehension failures, and the inherent limitations of automated metrics. The test plan (plan_v2.yaml) includes explicit hypotheses for each experiment group.</w:t>
      </w:r>
    </w:p>
    <w:p>
      <w:pPr>
        <w:spacing w:after="120"/>
      </w:pPr>
      <w:r>
        <w:rPr>
          <w:rFonts w:ascii="Arial" w:cs="Arial" w:eastAsia="Arial" w:hAnsi="Arial"/>
          <w:b/>
          <w:bCs/>
          <w:sz w:val="22"/>
          <w:szCs w:val="22"/>
        </w:rPr>
        <w:t xml:space="preserve">Gaps: </w:t>
      </w:r>
      <w:r>
        <w:rPr>
          <w:rFonts w:ascii="Arial" w:cs="Arial" w:eastAsia="Arial" w:hAnsi="Arial"/>
          <w:sz w:val="22"/>
          <w:szCs w:val="22"/>
        </w:rPr>
        <w:t xml:space="preserve">The primary test case (weather activity planning) is used across all experiments, and while 10 prompt variations are tested, relying on a single domain limits generalizability claims. The experiments with additional prompts (document sentiment, stock analysis, trip planning) appear less thoroughly analyzed. Statistical significance testing (confidence intervals, p-values) is absent. Some metrics (intent resolution, reasoning coherence) rely on LLM-based evaluation, and the reliability of these meta-evaluations is acknowledged but not deeply explored.</w:t>
      </w:r>
    </w:p>
    <w:p>
      <w:pPr>
        <w:pStyle w:val="Heading2"/>
      </w:pPr>
      <w:r>
        <w:rPr>
          <w:rFonts w:ascii="Arial" w:cs="Arial" w:eastAsia="Arial" w:hAnsi="Arial"/>
        </w:rPr>
        <w:t xml:space="preserve">3. Communication &amp; Structure – 9/10</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The 13-page report follows a clear academic structure (Introduction → Problem Statement → Architecture → Implementation → Evaluation → Discussion → Conclusion). The writing is clear and precise, with appropriate use of formalism in the problem statement. Figures and tables are informative (workflow DAG diagrams, comparative bar charts, efficiency tables). The Discussion section provides thoughtful reflection on hierarchical decomposition limitations, context degradation, task incomprehension, and metric quality. The README is comprehensive with CLI examples. Code is well-commented (added systematically in recent commits).</w:t>
      </w:r>
    </w:p>
    <w:p>
      <w:pPr>
        <w:spacing w:after="120"/>
      </w:pPr>
      <w:r>
        <w:rPr>
          <w:rFonts w:ascii="Arial" w:cs="Arial" w:eastAsia="Arial" w:hAnsi="Arial"/>
          <w:b/>
          <w:bCs/>
          <w:sz w:val="22"/>
          <w:szCs w:val="22"/>
        </w:rPr>
        <w:t xml:space="preserve">Minor gaps: </w:t>
      </w:r>
      <w:r>
        <w:rPr>
          <w:rFonts w:ascii="Arial" w:cs="Arial" w:eastAsia="Arial" w:hAnsi="Arial"/>
          <w:sz w:val="22"/>
          <w:szCs w:val="22"/>
        </w:rPr>
        <w:t xml:space="preserve">The implementation section (Section 4) is dense and could benefit from more visual aids. Future work is relatively brief.</w:t>
      </w:r>
    </w:p>
    <w:p>
      <w:r>
        <w:br w:type="page"/>
      </w:r>
    </w:p>
    <w:p>
      <w:pPr>
        <w:pStyle w:val="Heading1"/>
      </w:pPr>
      <w:r>
        <w:rPr>
          <w:rFonts w:ascii="Arial" w:cs="Arial" w:eastAsia="Arial" w:hAnsi="Arial"/>
        </w:rPr>
        <w:t xml:space="preserve">Project 2: Tool Calling Optimization</w:t>
      </w:r>
    </w:p>
    <w:p>
      <w:pPr>
        <w:spacing w:after="120"/>
      </w:pPr>
      <w:r>
        <w:rPr>
          <w:rFonts w:ascii="Arial" w:cs="Arial" w:eastAsia="Arial" w:hAnsi="Arial"/>
          <w:b/>
          <w:bCs/>
          <w:sz w:val="22"/>
          <w:szCs w:val="22"/>
        </w:rPr>
        <w:t xml:space="preserve">Student: </w:t>
      </w:r>
      <w:r>
        <w:rPr>
          <w:rFonts w:ascii="Arial" w:cs="Arial" w:eastAsia="Arial" w:hAnsi="Arial"/>
          <w:sz w:val="22"/>
          <w:szCs w:val="22"/>
        </w:rPr>
        <w:t xml:space="preserve">Simone Brentan</w:t>
      </w:r>
    </w:p>
    <w:p>
      <w:pPr>
        <w:spacing w:after="120"/>
      </w:pPr>
      <w:r>
        <w:rPr>
          <w:rFonts w:ascii="Arial" w:cs="Arial" w:eastAsia="Arial" w:hAnsi="Arial"/>
          <w:b/>
          <w:bCs/>
          <w:sz w:val="22"/>
          <w:szCs w:val="22"/>
        </w:rPr>
        <w:t xml:space="preserve">Repository: </w:t>
      </w:r>
      <w:r>
        <w:rPr>
          <w:rFonts w:ascii="Arial" w:cs="Arial" w:eastAsia="Arial" w:hAnsi="Arial"/>
          <w:sz w:val="22"/>
          <w:szCs w:val="22"/>
        </w:rPr>
        <w:t xml:space="preserve">simone-tool-calling-optimization</w:t>
      </w:r>
    </w:p>
    <w:p>
      <w:pPr>
        <w:spacing w:after="120"/>
      </w:pPr>
      <w:r>
        <w:rPr>
          <w:rFonts w:ascii="Arial" w:cs="Arial" w:eastAsia="Arial" w:hAnsi="Arial"/>
          <w:b/>
          <w:bCs/>
          <w:sz w:val="22"/>
          <w:szCs w:val="22"/>
        </w:rPr>
        <w:t xml:space="preserve">Topic: </w:t>
      </w:r>
      <w:r>
        <w:rPr>
          <w:rFonts w:ascii="Arial" w:cs="Arial" w:eastAsia="Arial" w:hAnsi="Arial"/>
          <w:sz w:val="22"/>
          <w:szCs w:val="22"/>
        </w:rPr>
        <w:t xml:space="preserve">A testing framework for LLM tool selection at scale</w:t>
      </w:r>
    </w:p>
    <w:p>
      <w:pPr>
        <w:spacing w:after="120"/>
      </w:pPr>
      <w:r>
        <w:rPr>
          <w:rFonts w:ascii="Arial" w:cs="Arial" w:eastAsia="Arial" w:hAnsi="Arial"/>
          <w:sz w:val="22"/>
          <w:szCs w:val="22"/>
        </w:rPr>
        <w:t xml:space="preserve">This project evaluates and compares five methodologies for optimizing how LLMs select tools from large catalogs (10 to 985 tools): MCP baseline (all tools in context), Clustering (hierarchical category selection), RAG (semantic embedding retrieval), Hybrid (RAG + category structure), and Adaptive RAG (dynamic K selection via elbow detection). The core problem is that tool-calling accuracy degrades as catalog size increases, and the project finds the optimal trade-offs between context size, accuracy, and latency.</w:t>
      </w:r>
    </w:p>
    <w:p>
      <w:pPr>
        <w:pStyle w:val="Heading2"/>
      </w:pPr>
      <w:r>
        <w:rPr>
          <w:rFonts w:ascii="Arial" w:cs="Arial" w:eastAsia="Arial" w:hAnsi="Arial"/>
        </w:rPr>
        <w:t xml:space="preserve">1. Design &amp; Prototypes – 9/10</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The project demonstrates excellent design thinking. The problem is clearly defined (tool selection accuracy degrades at scale) and five distinct methodologies are implemented, each representing a meaningfully different approach. The design choices span from simple baselines (MCP) through progressively more sophisticated solutions (Clustering → RAG → Hybrid → Adaptive RAG), creating a natural progression. The implementation is production-quality: modular methodology classes, multi-provider LLM support (Cerebras, Ollama, OpenAI, Gemini), a YAML-based tool catalog with 6,276 tools across 42 categories, and five documentation verbosity levels. The framework supports robust experiment execution with timeout/retry, progress saving/resuming, and API key rotation.</w:t>
      </w:r>
    </w:p>
    <w:p>
      <w:pPr>
        <w:spacing w:after="120"/>
      </w:pPr>
      <w:r>
        <w:rPr>
          <w:rFonts w:ascii="Arial" w:cs="Arial" w:eastAsia="Arial" w:hAnsi="Arial"/>
          <w:b/>
          <w:bCs/>
          <w:sz w:val="22"/>
          <w:szCs w:val="22"/>
        </w:rPr>
        <w:t xml:space="preserve">Minor gaps: </w:t>
      </w:r>
      <w:r>
        <w:rPr>
          <w:rFonts w:ascii="Arial" w:cs="Arial" w:eastAsia="Arial" w:hAnsi="Arial"/>
          <w:sz w:val="22"/>
          <w:szCs w:val="22"/>
        </w:rPr>
        <w:t xml:space="preserve">Could have explored additional advanced approaches such as hierarchical retrieval with re-ranking, or fine-tuned embedding models for tool retrieval.</w:t>
      </w:r>
    </w:p>
    <w:p>
      <w:pPr>
        <w:pStyle w:val="Heading2"/>
      </w:pPr>
      <w:r>
        <w:rPr>
          <w:rFonts w:ascii="Arial" w:cs="Arial" w:eastAsia="Arial" w:hAnsi="Arial"/>
        </w:rPr>
        <w:t xml:space="preserve">2. Experiments &amp; Analysis – 9/10</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The experimental design is exceptionally thorough. A total of 139+ configurations were tested across 849 result files, covering five methodologies, tool counts from 10 to 985, multiple documentation verbosity levels, and two LLM models (Llama 3.2 3B local, Llama 3.3 70B cloud). Three random seeds per configuration provide statistical validity. The metrics are clear and appropriate: accuracy, latency, token usage, retrieval recall, category accuracy, and parameter validation. External validation using the xLAM public dataset (985 tools from Salesforce) strengthens the findings. The analysis is honest: Clustering’s poor performance (20–40% accuracy) is reported without excuse, MCP’s failure at scale is documented precisely (accuracy cliff at 350+ tools), and the report transparently discusses limitations including synthetic test simplicity, single embedding model usage, and prompt design constraints.</w:t>
      </w:r>
    </w:p>
    <w:p>
      <w:pPr>
        <w:spacing w:after="120"/>
      </w:pPr>
      <w:r>
        <w:rPr>
          <w:rFonts w:ascii="Arial" w:cs="Arial" w:eastAsia="Arial" w:hAnsi="Arial"/>
          <w:b/>
          <w:bCs/>
          <w:sz w:val="22"/>
          <w:szCs w:val="22"/>
        </w:rPr>
        <w:t xml:space="preserve">Minor gaps: </w:t>
      </w:r>
      <w:r>
        <w:rPr>
          <w:rFonts w:ascii="Arial" w:cs="Arial" w:eastAsia="Arial" w:hAnsi="Arial"/>
          <w:sz w:val="22"/>
          <w:szCs w:val="22"/>
        </w:rPr>
        <w:t xml:space="preserve">No formal statistical significance testing (p-values or confidence intervals) despite having multi-seed runs. The clustering methodology’s poor performance is documented but not deeply explored through prompt engineering iterations. Real-world multi-turn or ambiguous prompts could have been tested more extensively.</w:t>
      </w:r>
    </w:p>
    <w:p>
      <w:pPr>
        <w:pStyle w:val="Heading2"/>
      </w:pPr>
      <w:r>
        <w:rPr>
          <w:rFonts w:ascii="Arial" w:cs="Arial" w:eastAsia="Arial" w:hAnsi="Arial"/>
        </w:rPr>
        <w:t xml:space="preserve">3. Communication &amp; Structure – 9/10</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Communication is excellent across multiple formats. The 13-page report follows standard academic structure with 22 figures (heatmaps, confusion matrices, scatter plots, boxplots) that clearly convey findings. The repository includes four additional documentation files (METHODOLOGY_GUIDE.md, CONFIG_REFERENCE.md, PLAN_CONFIGURATION.md, README.md) that serve different audiences. The Methodology Guide is particularly pedagogical, with comparison tables, tuning guidelines, and failure mode analysis. Conclusions are specific and actionable (e.g., “for &lt;50 tools use MCP; for 50–500 use RAG; for &gt;500 use Adaptive RAG”). The code is clean and well-organized.</w:t>
      </w:r>
    </w:p>
    <w:p>
      <w:pPr>
        <w:spacing w:after="120"/>
      </w:pPr>
      <w:r>
        <w:rPr>
          <w:rFonts w:ascii="Arial" w:cs="Arial" w:eastAsia="Arial" w:hAnsi="Arial"/>
          <w:b/>
          <w:bCs/>
          <w:sz w:val="22"/>
          <w:szCs w:val="22"/>
        </w:rPr>
        <w:t xml:space="preserve">Minor gaps: </w:t>
      </w:r>
      <w:r>
        <w:rPr>
          <w:rFonts w:ascii="Arial" w:cs="Arial" w:eastAsia="Arial" w:hAnsi="Arial"/>
          <w:sz w:val="22"/>
          <w:szCs w:val="22"/>
        </w:rPr>
        <w:t xml:space="preserve">The report could benefit from a more prominent executive summary or abstract highlighting the key numeric findings upfront.</w:t>
      </w:r>
    </w:p>
    <w:p>
      <w:r>
        <w:br w:type="page"/>
      </w:r>
    </w:p>
    <w:p>
      <w:pPr>
        <w:pStyle w:val="Heading1"/>
      </w:pPr>
      <w:r>
        <w:rPr>
          <w:rFonts w:ascii="Arial" w:cs="Arial" w:eastAsia="Arial" w:hAnsi="Arial"/>
        </w:rPr>
        <w:t xml:space="preserve">Comparative Observations</w:t>
      </w:r>
    </w:p>
    <w:p>
      <w:pPr>
        <w:spacing w:after="120"/>
      </w:pPr>
      <w:r>
        <w:rPr>
          <w:rFonts w:ascii="Arial" w:cs="Arial" w:eastAsia="Arial" w:hAnsi="Arial"/>
          <w:sz w:val="22"/>
          <w:szCs w:val="22"/>
        </w:rPr>
        <w:t xml:space="preserve">Both projects demonstrate strong design thinking, rigorous experimentation, and honest analysis. They share a systematic approach to comparing multiple design alternatives with clearly defined metrics.</w:t>
      </w:r>
    </w:p>
    <w:p>
      <w:pPr>
        <w:spacing w:after="120"/>
      </w:pPr>
      <w:r>
        <w:rPr>
          <w:rFonts w:ascii="Arial" w:cs="Arial" w:eastAsia="Arial" w:hAnsi="Arial"/>
          <w:b/>
          <w:bCs/>
          <w:sz w:val="22"/>
          <w:szCs w:val="22"/>
        </w:rPr>
        <w:t xml:space="preserve">Simone Brentan’s project edges slightly ahead in experimentation </w:t>
      </w:r>
      <w:r>
        <w:rPr>
          <w:rFonts w:ascii="Arial" w:cs="Arial" w:eastAsia="Arial" w:hAnsi="Arial"/>
          <w:sz w:val="22"/>
          <w:szCs w:val="22"/>
        </w:rPr>
        <w:t xml:space="preserve">(139+ configurations vs. 6 experiments, multi-seed runs, external dataset validation), earning a 9 vs. 8 in that dimension. The ai-workflows project offers richer design complexity (more orthogonal dimensions to explore) and a more sophisticated evaluation framework (five composite metrics vs. standard accuracy/latency), but the experimental coverage is narrower (primarily one test domain with 10 prompt variations).</w:t>
      </w:r>
    </w:p>
    <w:p>
      <w:pPr>
        <w:spacing w:after="120"/>
      </w:pPr>
      <w:r>
        <w:rPr>
          <w:rFonts w:ascii="Arial" w:cs="Arial" w:eastAsia="Arial" w:hAnsi="Arial"/>
          <w:sz w:val="22"/>
          <w:szCs w:val="22"/>
        </w:rPr>
        <w:t>On communication, both projects score equally well. Both produce professional 13-page academic reports, both maintain well-documented repositories, and both include thoughtful Discussion sections that honestly address limitations. Simone’s additional standalone documentation files (Methodology Guide, Config Reference) slightly strengthen accessibility but are offset by the ai-workflows project’s more sophisticated visual presentation (DAG diagrams, workflow visualizations).</w:t>
      </w:r>
    </w:p>
    <w:p>
      <w:pPr>
        <w:pStyle w:val="Heading2"/>
      </w:pPr>
      <w:r>
        <w:rPr>
          <w:rFonts w:ascii="Arial" w:cs="Arial" w:eastAsia="Arial" w:hAnsi="Arial"/>
        </w:rPr>
        <w:t xml:space="preserve">Note on Contribution Assessment (ai-workflows)</w:t>
      </w:r>
    </w:p>
    <w:p>
      <w:pPr>
        <w:spacing w:after="120"/>
      </w:pPr>
      <w:r>
        <w:rPr>
          <w:rFonts w:ascii="Arial" w:cs="Arial" w:eastAsia="Arial" w:hAnsi="Arial"/>
          <w:sz w:val="22"/>
          <w:szCs w:val="22"/>
        </w:rPr>
        <w:t xml:space="preserve">The git history for the ai-workflows repository shows a significant contribution imbalance. All 146 commits were authored by wamuumu (Matteo Costalonga), with only a single commit carrying a co-authored-by tag for Faerye0 (Alex Reichert). While the report lists both students as co-authors and the work itself is of high quality, the repository evidence alone cannot confirm how work was divided. It is possible that Alex contributed to design discussions, the report, the metrics spreadsheet, or testing outside of git commits, but this cannot be verified from the artifacts available. The instructor may wish to have a brief conversation with both students to understand their individual contributions before assigning final individual grades.</w:t>
      </w:r>
    </w:p>
    <w:p>
      <w:pPr>
        <w:pStyle w:val="Heading1"/>
      </w:pPr>
      <w:r>
        <w:rPr>
          <w:rFonts w:ascii="Arial" w:cs="Arial" w:eastAsia="Arial" w:hAnsi="Arial"/>
        </w:rPr>
        <w:t xml:space="preserve">Assessment Methodology</w:t>
      </w:r>
    </w:p>
    <w:p>
      <w:pPr>
        <w:spacing w:after="120"/>
      </w:pPr>
      <w:r>
        <w:rPr>
          <w:rFonts w:ascii="Arial" w:cs="Arial" w:eastAsia="Arial" w:hAnsi="Arial"/>
          <w:sz w:val="22"/>
          <w:szCs w:val="22"/>
        </w:rPr>
        <w:t xml:space="preserve">This assessment was conducted by examining the complete project artifacts for each repository: source code, git history, documentation (README files and guides), written reports (PDF), experiment configurations and results, and metrics data (spreadsheets and JSON files). Each project was evaluated against the three rubric dimensions (Design &amp; Prototypes, Experiments &amp; Analysis, Communication &amp; Structure) using the scoring guidelines provided. Scores reflect the quality of the submitted project artifacts and do not account for factors outside the repositories (e.g., in-class presentations, verbal discussions, or effort not captured in version control).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Design Project – Grading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2026-02-09T20:43:59.873Z</dcterms:created>
  <dcterms:modified xsi:type="dcterms:W3CDTF">2026-02-09T20:43:59.874Z</dcterms:modified>
</cp:coreProperties>
</file>

<file path=docProps/custom.xml><?xml version="1.0" encoding="utf-8"?>
<Properties xmlns="http://schemas.openxmlformats.org/officeDocument/2006/custom-properties" xmlns:vt="http://schemas.openxmlformats.org/officeDocument/2006/docPropsVTypes"/>
</file>