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6225128173828" w:lineRule="auto"/>
        <w:ind w:left="27.042617797851562" w:right="1691.322021484375" w:firstLine="17.759933471679688"/>
        <w:jc w:val="left"/>
        <w:rPr>
          <w:rFonts w:ascii="Noto Sans" w:cs="Noto Sans" w:eastAsia="Noto Sans" w:hAnsi="Noto Sans"/>
          <w:b w:val="1"/>
          <w:i w:val="0"/>
          <w:smallCaps w:val="0"/>
          <w:strike w:val="0"/>
          <w:color w:val="333333"/>
          <w:sz w:val="48"/>
          <w:szCs w:val="48"/>
          <w:u w:val="none"/>
          <w:shd w:fill="auto" w:val="clear"/>
          <w:vertAlign w:val="baseline"/>
        </w:rPr>
      </w:pPr>
      <w:r w:rsidDel="00000000" w:rsidR="00000000" w:rsidRPr="00000000">
        <w:rPr>
          <w:rFonts w:ascii="Noto Sans" w:cs="Noto Sans" w:eastAsia="Noto Sans" w:hAnsi="Noto Sans"/>
          <w:b w:val="1"/>
          <w:i w:val="0"/>
          <w:smallCaps w:val="0"/>
          <w:strike w:val="0"/>
          <w:color w:val="333333"/>
          <w:sz w:val="48"/>
          <w:szCs w:val="48"/>
          <w:u w:val="none"/>
          <w:shd w:fill="auto" w:val="clear"/>
          <w:vertAlign w:val="baseline"/>
          <w:rtl w:val="0"/>
        </w:rPr>
        <w:t xml:space="preserve">Land Intelligence System (LIS)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59521484375" w:line="240" w:lineRule="auto"/>
        <w:ind w:left="30.642623901367188" w:right="0" w:firstLine="0"/>
        <w:jc w:val="left"/>
        <w:rPr>
          <w:rFonts w:ascii="Noto Sans" w:cs="Noto Sans" w:eastAsia="Noto Sans" w:hAnsi="Noto Sans"/>
          <w:b w:val="1"/>
          <w:i w:val="0"/>
          <w:smallCaps w:val="0"/>
          <w:strike w:val="0"/>
          <w:color w:val="333333"/>
          <w:sz w:val="36"/>
          <w:szCs w:val="36"/>
          <w:u w:val="none"/>
          <w:shd w:fill="auto" w:val="clear"/>
          <w:vertAlign w:val="baseline"/>
        </w:rPr>
      </w:pPr>
      <w:r w:rsidDel="00000000" w:rsidR="00000000" w:rsidRPr="00000000">
        <w:rPr>
          <w:rFonts w:ascii="Noto Sans" w:cs="Noto Sans" w:eastAsia="Noto Sans" w:hAnsi="Noto Sans"/>
          <w:b w:val="1"/>
          <w:i w:val="0"/>
          <w:smallCaps w:val="0"/>
          <w:strike w:val="0"/>
          <w:color w:val="333333"/>
          <w:sz w:val="36"/>
          <w:szCs w:val="36"/>
          <w:u w:val="none"/>
          <w:shd w:fill="auto" w:val="clear"/>
          <w:vertAlign w:val="baseline"/>
          <w:rtl w:val="0"/>
        </w:rPr>
        <w:t xml:space="preserve">1. Introduction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8037109375" w:line="321.3000011444092" w:lineRule="auto"/>
        <w:ind w:left="15.2825927734375" w:right="-12.059326171875" w:firstLine="10.080032348632812"/>
        <w:jc w:val="both"/>
        <w:rPr>
          <w:rFonts w:ascii="Noto Sans" w:cs="Noto Sans" w:eastAsia="Noto Sans" w:hAnsi="Noto Sans"/>
          <w:color w:val="333333"/>
          <w:sz w:val="24"/>
          <w:szCs w:val="24"/>
        </w:rPr>
      </w:pPr>
      <w:r w:rsidDel="00000000" w:rsidR="00000000" w:rsidRPr="00000000">
        <w:rPr>
          <w:rFonts w:ascii="Noto Sans" w:cs="Noto Sans" w:eastAsia="Noto Sans" w:hAnsi="Noto Sans"/>
          <w:color w:val="333333"/>
          <w:sz w:val="24"/>
          <w:szCs w:val="24"/>
          <w:rtl w:val="0"/>
        </w:rPr>
        <w:t xml:space="preserve">LIS is a revolutionary platform designed to simplify location scouting for everyone, from individuals seeking a new home to real estate professionals identifying prime investment opportunities.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8037109375" w:line="321.3000011444092" w:lineRule="auto"/>
        <w:ind w:left="15.2825927734375" w:right="-12.059326171875" w:firstLine="10.080032348632812"/>
        <w:jc w:val="both"/>
        <w:rPr>
          <w:rFonts w:ascii="Noto Sans" w:cs="Noto Sans" w:eastAsia="Noto Sans" w:hAnsi="Noto Sans"/>
          <w:color w:val="333333"/>
          <w:sz w:val="24"/>
          <w:szCs w:val="24"/>
        </w:rPr>
      </w:pPr>
      <w:r w:rsidDel="00000000" w:rsidR="00000000" w:rsidRPr="00000000">
        <w:rPr>
          <w:rFonts w:ascii="Noto Sans" w:cs="Noto Sans" w:eastAsia="Noto Sans" w:hAnsi="Noto Sans"/>
          <w:color w:val="333333"/>
          <w:sz w:val="24"/>
          <w:szCs w:val="24"/>
          <w:rtl w:val="0"/>
        </w:rPr>
        <w:t xml:space="preserve">By integrating vast amounts of geospatial, environmental, and socioeconomic data, LIS acts as an intelligent assistant, providing personalized location recommendations and proactively assessing potential risks. addresses the inefficiencies and hidden risks of traditional location analysis, empowering a diverse range of users to make informed decisions and contributing to smarter urban planning and more resilient communities.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8037109375" w:line="321.3000011444092" w:lineRule="auto"/>
        <w:ind w:left="15.2825927734375" w:right="-12.059326171875" w:firstLine="10.080032348632812"/>
        <w:jc w:val="both"/>
        <w:rPr>
          <w:rFonts w:ascii="Noto Sans" w:cs="Noto Sans" w:eastAsia="Noto Sans" w:hAnsi="Noto Sans"/>
          <w:color w:val="333333"/>
          <w:sz w:val="24"/>
          <w:szCs w:val="24"/>
        </w:rPr>
      </w:pPr>
      <w:r w:rsidDel="00000000" w:rsidR="00000000" w:rsidRPr="00000000">
        <w:rPr>
          <w:rFonts w:ascii="Noto Sans" w:cs="Noto Sans" w:eastAsia="Noto Sans" w:hAnsi="Noto Sans"/>
          <w:color w:val="333333"/>
          <w:sz w:val="24"/>
          <w:szCs w:val="24"/>
          <w:rtl w:val="0"/>
        </w:rPr>
        <w:t xml:space="preserve">Basically this idea is proposing many useful modules which has its own pros, this platform targets general population whom are looking for buying a house or renting it, or farm house, farm, apartments or even temporary visiting places due to vacations or emergency etc. and focusing on their preferences. Warning them against natural disasters. </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6199951171875" w:line="240" w:lineRule="auto"/>
        <w:ind w:left="13.722610473632812" w:right="0" w:firstLine="0"/>
        <w:jc w:val="left"/>
        <w:rPr>
          <w:rFonts w:ascii="Noto Sans" w:cs="Noto Sans" w:eastAsia="Noto Sans" w:hAnsi="Noto Sans"/>
          <w:b w:val="1"/>
          <w:i w:val="0"/>
          <w:smallCaps w:val="0"/>
          <w:strike w:val="0"/>
          <w:color w:val="333333"/>
          <w:sz w:val="36"/>
          <w:szCs w:val="36"/>
          <w:u w:val="none"/>
          <w:shd w:fill="auto" w:val="clear"/>
          <w:vertAlign w:val="baseline"/>
        </w:rPr>
      </w:pPr>
      <w:r w:rsidDel="00000000" w:rsidR="00000000" w:rsidRPr="00000000">
        <w:rPr>
          <w:rFonts w:ascii="Noto Sans" w:cs="Noto Sans" w:eastAsia="Noto Sans" w:hAnsi="Noto Sans"/>
          <w:b w:val="1"/>
          <w:i w:val="0"/>
          <w:smallCaps w:val="0"/>
          <w:strike w:val="0"/>
          <w:color w:val="333333"/>
          <w:sz w:val="36"/>
          <w:szCs w:val="36"/>
          <w:u w:val="none"/>
          <w:shd w:fill="auto" w:val="clear"/>
          <w:vertAlign w:val="baseline"/>
          <w:rtl w:val="0"/>
        </w:rPr>
        <w:t xml:space="preserve">2. The Problem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797607421875" w:line="321.7462635040283" w:lineRule="auto"/>
        <w:ind w:left="8.5626220703125" w:right="-4.210205078125" w:firstLine="0"/>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Traditional location scouting is plagued by information overload, hidden risks (especially natural disasters), mismatched preferences, and data-poor decisions. These challenges lead to inefficient processes, unforeseen problems, and costly mistakes. LIS aims to solve these by providing a comprehensive, intelligent system for location analysis.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73828125" w:line="240" w:lineRule="auto"/>
        <w:ind w:left="10.482559204101562" w:right="0" w:firstLine="0"/>
        <w:jc w:val="left"/>
        <w:rPr>
          <w:rFonts w:ascii="Noto Sans" w:cs="Noto Sans" w:eastAsia="Noto Sans" w:hAnsi="Noto Sans"/>
          <w:b w:val="1"/>
          <w:i w:val="0"/>
          <w:smallCaps w:val="0"/>
          <w:strike w:val="0"/>
          <w:color w:val="333333"/>
          <w:sz w:val="36"/>
          <w:szCs w:val="36"/>
          <w:u w:val="none"/>
          <w:shd w:fill="auto" w:val="clear"/>
          <w:vertAlign w:val="baseline"/>
        </w:rPr>
      </w:pPr>
      <w:r w:rsidDel="00000000" w:rsidR="00000000" w:rsidRPr="00000000">
        <w:rPr>
          <w:rFonts w:ascii="Noto Sans" w:cs="Noto Sans" w:eastAsia="Noto Sans" w:hAnsi="Noto Sans"/>
          <w:b w:val="1"/>
          <w:i w:val="0"/>
          <w:smallCaps w:val="0"/>
          <w:strike w:val="0"/>
          <w:color w:val="333333"/>
          <w:sz w:val="36"/>
          <w:szCs w:val="36"/>
          <w:u w:val="none"/>
          <w:shd w:fill="auto" w:val="clear"/>
          <w:vertAlign w:val="baseline"/>
          <w:rtl w:val="0"/>
        </w:rPr>
        <w:t xml:space="preserve">3. </w:t>
      </w:r>
      <w:r w:rsidDel="00000000" w:rsidR="00000000" w:rsidRPr="00000000">
        <w:rPr>
          <w:rFonts w:ascii="Noto Sans" w:cs="Noto Sans" w:eastAsia="Noto Sans" w:hAnsi="Noto Sans"/>
          <w:b w:val="1"/>
          <w:color w:val="333333"/>
          <w:sz w:val="36"/>
          <w:szCs w:val="36"/>
          <w:rtl w:val="0"/>
        </w:rPr>
        <w:t xml:space="preserve">The</w:t>
      </w:r>
      <w:r w:rsidDel="00000000" w:rsidR="00000000" w:rsidRPr="00000000">
        <w:rPr>
          <w:rFonts w:ascii="Noto Sans" w:cs="Noto Sans" w:eastAsia="Noto Sans" w:hAnsi="Noto Sans"/>
          <w:b w:val="1"/>
          <w:i w:val="0"/>
          <w:smallCaps w:val="0"/>
          <w:strike w:val="0"/>
          <w:color w:val="333333"/>
          <w:sz w:val="36"/>
          <w:szCs w:val="36"/>
          <w:u w:val="none"/>
          <w:shd w:fill="auto" w:val="clear"/>
          <w:vertAlign w:val="baseline"/>
          <w:rtl w:val="0"/>
        </w:rPr>
        <w:t xml:space="preserve"> Solution: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73828125" w:line="240" w:lineRule="auto"/>
        <w:ind w:left="10.482559204101562" w:right="0" w:firstLine="0"/>
        <w:jc w:val="left"/>
        <w:rPr>
          <w:rFonts w:ascii="Noto Sans" w:cs="Noto Sans" w:eastAsia="Noto Sans" w:hAnsi="Noto Sans"/>
          <w:b w:val="1"/>
          <w:i w:val="0"/>
          <w:smallCaps w:val="0"/>
          <w:strike w:val="0"/>
          <w:color w:val="333333"/>
          <w:sz w:val="36"/>
          <w:szCs w:val="36"/>
          <w:u w:val="none"/>
          <w:shd w:fill="auto" w:val="clear"/>
          <w:vertAlign w:val="baseline"/>
        </w:rPr>
      </w:pPr>
      <w:r w:rsidDel="00000000" w:rsidR="00000000" w:rsidRPr="00000000">
        <w:rPr>
          <w:rFonts w:ascii="Noto Sans" w:cs="Noto Sans" w:eastAsia="Noto Sans" w:hAnsi="Noto Sans"/>
          <w:b w:val="1"/>
          <w:i w:val="0"/>
          <w:smallCaps w:val="0"/>
          <w:strike w:val="0"/>
          <w:color w:val="333333"/>
          <w:sz w:val="36"/>
          <w:szCs w:val="36"/>
          <w:u w:val="none"/>
          <w:shd w:fill="auto" w:val="clear"/>
          <w:vertAlign w:val="baseline"/>
          <w:rtl w:val="0"/>
        </w:rPr>
        <w:t xml:space="preserve"> Land Intelligence System (LIS)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8006591796875" w:line="320.70502281188965" w:lineRule="auto"/>
        <w:ind w:left="13.60260009765625" w:right="-6.826171875" w:firstLine="11.760025024414062"/>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LIS is a sophisticated platform that functions as a multi-faceted location intelligence engine. Users simply articulate their needs in natural language, and LIS delivers precise, data-backed recommendations by analyzing global geospatial data, historical environmental patterns, socioeconomic indicators, and infrastructure details.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0141906738" w:lineRule="auto"/>
        <w:ind w:left="15.2825927734375" w:right="0.108642578125" w:firstLine="10.080032348632812"/>
        <w:jc w:val="left"/>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Recommendations are presented on an interactive map with detailed explanations and risk assessments.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050048828125" w:line="240" w:lineRule="auto"/>
        <w:ind w:left="19.12261962890625" w:right="0" w:firstLine="0"/>
        <w:jc w:val="left"/>
        <w:rPr>
          <w:rFonts w:ascii="Noto Sans" w:cs="Noto Sans" w:eastAsia="Noto Sans" w:hAnsi="Noto Sans"/>
          <w:b w:val="1"/>
          <w:i w:val="0"/>
          <w:smallCaps w:val="0"/>
          <w:strike w:val="0"/>
          <w:color w:val="333333"/>
          <w:sz w:val="36"/>
          <w:szCs w:val="36"/>
          <w:u w:val="none"/>
          <w:shd w:fill="auto" w:val="clear"/>
          <w:vertAlign w:val="baseline"/>
        </w:rPr>
      </w:pPr>
      <w:r w:rsidDel="00000000" w:rsidR="00000000" w:rsidRPr="00000000">
        <w:rPr>
          <w:rFonts w:ascii="Noto Sans" w:cs="Noto Sans" w:eastAsia="Noto Sans" w:hAnsi="Noto Sans"/>
          <w:b w:val="1"/>
          <w:i w:val="0"/>
          <w:smallCaps w:val="0"/>
          <w:strike w:val="0"/>
          <w:color w:val="333333"/>
          <w:sz w:val="36"/>
          <w:szCs w:val="36"/>
          <w:u w:val="none"/>
          <w:shd w:fill="auto" w:val="clear"/>
          <w:vertAlign w:val="baseline"/>
          <w:rtl w:val="0"/>
        </w:rPr>
        <w:t xml:space="preserve">7. </w:t>
      </w:r>
      <w:r w:rsidDel="00000000" w:rsidR="00000000" w:rsidRPr="00000000">
        <w:rPr>
          <w:rFonts w:ascii="Noto Sans" w:cs="Noto Sans" w:eastAsia="Noto Sans" w:hAnsi="Noto Sans"/>
          <w:b w:val="1"/>
          <w:color w:val="333333"/>
          <w:sz w:val="36"/>
          <w:szCs w:val="36"/>
          <w:rtl w:val="0"/>
        </w:rPr>
        <w:t xml:space="preserve">LIS</w:t>
      </w:r>
      <w:r w:rsidDel="00000000" w:rsidR="00000000" w:rsidRPr="00000000">
        <w:rPr>
          <w:rFonts w:ascii="Noto Sans" w:cs="Noto Sans" w:eastAsia="Noto Sans" w:hAnsi="Noto Sans"/>
          <w:b w:val="1"/>
          <w:i w:val="0"/>
          <w:smallCaps w:val="0"/>
          <w:strike w:val="0"/>
          <w:color w:val="333333"/>
          <w:sz w:val="36"/>
          <w:szCs w:val="36"/>
          <w:u w:val="none"/>
          <w:shd w:fill="auto" w:val="clear"/>
          <w:vertAlign w:val="baseline"/>
          <w:rtl w:val="0"/>
        </w:rPr>
        <w:t xml:space="preserve"> Modules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23095703125" w:line="240" w:lineRule="auto"/>
        <w:ind w:left="15.155105590820312" w:right="0" w:firstLine="0"/>
        <w:jc w:val="left"/>
        <w:rPr>
          <w:rFonts w:ascii="Noto Sans" w:cs="Noto Sans" w:eastAsia="Noto Sans" w:hAnsi="Noto Sans"/>
          <w:b w:val="1"/>
          <w:i w:val="0"/>
          <w:smallCaps w:val="0"/>
          <w:strike w:val="0"/>
          <w:color w:val="333333"/>
          <w:sz w:val="28.064998626708984"/>
          <w:szCs w:val="28.064998626708984"/>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998626708984"/>
          <w:szCs w:val="28.064998626708984"/>
          <w:u w:val="none"/>
          <w:shd w:fill="auto" w:val="clear"/>
          <w:vertAlign w:val="baseline"/>
          <w:rtl w:val="0"/>
        </w:rPr>
        <w:t xml:space="preserve">7.1. Land Analysis and Recommendation Module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31103515625" w:line="318.6225128173828" w:lineRule="auto"/>
        <w:ind w:left="8.5626220703125" w:right="-6.773681640625" w:hanging="0.4799652099609375"/>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This module is the intelligent core, processing user preferences via natural language processing and generating personalized location recommendations. It uses multi criteria decision analysis and machine learning to evaluate suitability across various factors, employing ensemble methods and reinforcement learning for continuous improvement and uncertainty quantification.</w:t>
      </w:r>
    </w:p>
    <w:p w:rsidR="00000000" w:rsidDel="00000000" w:rsidP="00000000" w:rsidRDefault="00000000" w:rsidRPr="00000000" w14:paraId="0000000F">
      <w:pPr>
        <w:widowControl w:val="0"/>
        <w:spacing w:before="343.1317138671875" w:line="318.6225128173828" w:lineRule="auto"/>
        <w:ind w:left="13.842620849609375" w:right="-11.99462890625" w:hanging="5.279998779296875"/>
        <w:jc w:val="both"/>
        <w:rPr>
          <w:rFonts w:ascii="Noto Sans" w:cs="Noto Sans" w:eastAsia="Noto Sans" w:hAnsi="Noto Sans"/>
          <w:color w:val="333333"/>
          <w:sz w:val="24"/>
          <w:szCs w:val="24"/>
        </w:rPr>
      </w:pPr>
      <w:hyperlink r:id="rId6">
        <w:r w:rsidDel="00000000" w:rsidR="00000000" w:rsidRPr="00000000">
          <w:rPr>
            <w:rFonts w:ascii="Noto Sans" w:cs="Noto Sans" w:eastAsia="Noto Sans" w:hAnsi="Noto Sans"/>
            <w:color w:val="1155cc"/>
            <w:sz w:val="24"/>
            <w:szCs w:val="24"/>
            <w:u w:val="single"/>
            <w:rtl w:val="0"/>
          </w:rPr>
          <w:t xml:space="preserve">https://arxiv.org/abs/2505.08833</w:t>
        </w:r>
      </w:hyperlink>
      <w:r w:rsidDel="00000000" w:rsidR="00000000" w:rsidRPr="00000000">
        <w:rPr>
          <w:rtl w:val="0"/>
        </w:rPr>
      </w:r>
    </w:p>
    <w:p w:rsidR="00000000" w:rsidDel="00000000" w:rsidP="00000000" w:rsidRDefault="00000000" w:rsidRPr="00000000" w14:paraId="00000010">
      <w:pPr>
        <w:widowControl w:val="0"/>
        <w:spacing w:before="343.1317138671875" w:line="318.6225128173828" w:lineRule="auto"/>
        <w:ind w:left="13.842620849609375" w:right="-11.99462890625" w:hanging="5.279998779296875"/>
        <w:jc w:val="both"/>
        <w:rPr>
          <w:rFonts w:ascii="Noto Sans" w:cs="Noto Sans" w:eastAsia="Noto Sans" w:hAnsi="Noto Sans"/>
          <w:color w:val="333333"/>
          <w:sz w:val="24"/>
          <w:szCs w:val="24"/>
        </w:rPr>
      </w:pPr>
      <w:hyperlink r:id="rId7">
        <w:r w:rsidDel="00000000" w:rsidR="00000000" w:rsidRPr="00000000">
          <w:rPr>
            <w:rFonts w:ascii="Noto Sans" w:cs="Noto Sans" w:eastAsia="Noto Sans" w:hAnsi="Noto Sans"/>
            <w:color w:val="1155cc"/>
            <w:sz w:val="24"/>
            <w:szCs w:val="24"/>
            <w:u w:val="single"/>
            <w:rtl w:val="0"/>
          </w:rPr>
          <w:t xml:space="preserve">https://papers.ssrn.com/sol3/papers.cfm?abstract_id=5169176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31103515625" w:line="318.6225128173828" w:lineRule="auto"/>
        <w:ind w:left="0" w:right="-6.773681640625" w:firstLine="0"/>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6475830078125" w:line="240" w:lineRule="auto"/>
        <w:ind w:left="15.155105590820312" w:right="0" w:firstLine="0"/>
        <w:jc w:val="left"/>
        <w:rPr>
          <w:rFonts w:ascii="Noto Sans" w:cs="Noto Sans" w:eastAsia="Noto Sans" w:hAnsi="Noto Sans"/>
          <w:b w:val="1"/>
          <w:i w:val="0"/>
          <w:smallCaps w:val="0"/>
          <w:strike w:val="0"/>
          <w:color w:val="333333"/>
          <w:sz w:val="28.064998626708984"/>
          <w:szCs w:val="28.064998626708984"/>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998626708984"/>
          <w:szCs w:val="28.064998626708984"/>
          <w:u w:val="none"/>
          <w:shd w:fill="auto" w:val="clear"/>
          <w:vertAlign w:val="baseline"/>
          <w:rtl w:val="0"/>
        </w:rPr>
        <w:t xml:space="preserve">7.2. Disaster Prediction and Risk Assessment Module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317138671875" w:line="318.6225128173828" w:lineRule="auto"/>
        <w:ind w:left="13.842620849609375" w:right="-11.99462890625" w:hanging="5.279998779296875"/>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This module implements state-of-the-art techniques for multi-hazard analysis and risk quantification. It supports multiple prediction models for different hazards (seismic, meteorological, hydrological), integrates climate change impact assessments, and provides advanced risk communication through visualizations and real-time monitoring.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317138671875" w:line="318.6225128173828" w:lineRule="auto"/>
        <w:ind w:left="13.842620849609375" w:right="-11.99462890625" w:hanging="5.279998779296875"/>
        <w:jc w:val="both"/>
        <w:rPr>
          <w:rFonts w:ascii="Noto Sans" w:cs="Noto Sans" w:eastAsia="Noto Sans" w:hAnsi="Noto Sans"/>
          <w:color w:val="333333"/>
          <w:sz w:val="24"/>
          <w:szCs w:val="24"/>
        </w:rPr>
      </w:pPr>
      <w:hyperlink r:id="rId8">
        <w:r w:rsidDel="00000000" w:rsidR="00000000" w:rsidRPr="00000000">
          <w:rPr>
            <w:rFonts w:ascii="Noto Sans" w:cs="Noto Sans" w:eastAsia="Noto Sans" w:hAnsi="Noto Sans"/>
            <w:color w:val="1155cc"/>
            <w:sz w:val="24"/>
            <w:szCs w:val="24"/>
            <w:u w:val="single"/>
            <w:rtl w:val="0"/>
          </w:rPr>
          <w:t xml:space="preserve">https://internationaljournalofdisasterriskmanagement.com/Vol1/article/view/145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6475830078125" w:line="240" w:lineRule="auto"/>
        <w:ind w:left="15.155105590820312" w:right="0" w:firstLine="0"/>
        <w:jc w:val="left"/>
        <w:rPr>
          <w:rFonts w:ascii="Noto Sans" w:cs="Noto Sans" w:eastAsia="Noto Sans" w:hAnsi="Noto Sans"/>
          <w:b w:val="1"/>
          <w:i w:val="0"/>
          <w:smallCaps w:val="0"/>
          <w:strike w:val="0"/>
          <w:color w:val="333333"/>
          <w:sz w:val="28.064998626708984"/>
          <w:szCs w:val="28.064998626708984"/>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998626708984"/>
          <w:szCs w:val="28.064998626708984"/>
          <w:u w:val="none"/>
          <w:shd w:fill="auto" w:val="clear"/>
          <w:vertAlign w:val="baseline"/>
          <w:rtl w:val="0"/>
        </w:rPr>
        <w:t xml:space="preserve">7.3. Generative Spatial Intelligence for Urban Digital Twins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317138671875" w:line="318.6225128173828" w:lineRule="auto"/>
        <w:ind w:left="7.6026153564453125" w:right="-11.414794921875" w:firstLine="0.9600067138671875"/>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This module adds a dynamic and predictive layer by integrating Generative Spatial Intelligence and Urban Digital Twins (UDT). It models and predicts urban evolution based on various 'flows' (mobility, resources), fills data gaps, forecasts future urban development, and enables scenario planning. It utilizes advanced generative models to create a 'Large Flow Model' (LFM) for sustainable smart cities [1].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317138671875" w:line="318.6225128173828" w:lineRule="auto"/>
        <w:ind w:left="7.6026153564453125" w:right="-11.414794921875" w:firstLine="0.9600067138671875"/>
        <w:jc w:val="both"/>
        <w:rPr>
          <w:rFonts w:ascii="Noto Sans" w:cs="Noto Sans" w:eastAsia="Noto Sans" w:hAnsi="Noto Sans"/>
          <w:color w:val="333333"/>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317138671875" w:line="318.6225128173828" w:lineRule="auto"/>
        <w:ind w:left="7.6026153564453125" w:right="-11.414794921875" w:firstLine="0.9600067138671875"/>
        <w:jc w:val="both"/>
        <w:rPr>
          <w:rFonts w:ascii="Noto Sans" w:cs="Noto Sans" w:eastAsia="Noto Sans" w:hAnsi="Noto Sans"/>
          <w:color w:val="333333"/>
          <w:sz w:val="24"/>
          <w:szCs w:val="24"/>
        </w:rPr>
      </w:pPr>
      <w:hyperlink r:id="rId9">
        <w:r w:rsidDel="00000000" w:rsidR="00000000" w:rsidRPr="00000000">
          <w:rPr>
            <w:rFonts w:ascii="Noto Sans" w:cs="Noto Sans" w:eastAsia="Noto Sans" w:hAnsi="Noto Sans"/>
            <w:color w:val="1155cc"/>
            <w:sz w:val="24"/>
            <w:szCs w:val="24"/>
            <w:u w:val="single"/>
            <w:rtl w:val="0"/>
          </w:rPr>
          <w:t xml:space="preserve">https://www.sciencedirect.com/science/article/pii/S2666498425000043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6475830078125" w:line="320.5558204650879" w:lineRule="auto"/>
        <w:ind w:left="26.661758422851562" w:right="284.818115234375" w:hanging="11.50665283203125"/>
        <w:jc w:val="left"/>
        <w:rPr>
          <w:rFonts w:ascii="Noto Sans" w:cs="Noto Sans" w:eastAsia="Noto Sans" w:hAnsi="Noto Sans"/>
          <w:b w:val="1"/>
          <w:i w:val="0"/>
          <w:smallCaps w:val="0"/>
          <w:strike w:val="0"/>
          <w:color w:val="333333"/>
          <w:sz w:val="28.064998626708984"/>
          <w:szCs w:val="28.064998626708984"/>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998626708984"/>
          <w:szCs w:val="28.064998626708984"/>
          <w:u w:val="none"/>
          <w:shd w:fill="auto" w:val="clear"/>
          <w:vertAlign w:val="baseline"/>
          <w:rtl w:val="0"/>
        </w:rPr>
        <w:t xml:space="preserve">7.4. Human-Computer Interaction (HCI) for Urban Planning and Real Estate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3142700195312" w:line="324.8700141906738" w:lineRule="auto"/>
        <w:ind w:left="13.60260009765625" w:right="0.091552734375" w:hanging="5.03997802734375"/>
        <w:jc w:val="left"/>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This module focuses on intuitive and effective user interfaces. It emphasizes conversational interfaces using large language models (LLMs) for natural interaction,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0141906738" w:lineRule="auto"/>
        <w:ind w:left="23.202590942382812" w:right="-12.11669921875" w:hanging="15.5999755859375"/>
        <w:jc w:val="left"/>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with potential for immersive visualization (VR/AR). The design prioritizes user-centered principles for accessibility and a positive user experience [2, 3, 4, 5].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0141906738" w:lineRule="auto"/>
        <w:ind w:left="23.202590942382812" w:right="-12.11669921875" w:hanging="15.5999755859375"/>
        <w:jc w:val="left"/>
        <w:rPr>
          <w:rFonts w:ascii="Noto Sans" w:cs="Noto Sans" w:eastAsia="Noto Sans" w:hAnsi="Noto Sans"/>
          <w:color w:val="333333"/>
          <w:sz w:val="24"/>
          <w:szCs w:val="24"/>
        </w:rPr>
      </w:pPr>
      <w:hyperlink r:id="rId10">
        <w:r w:rsidDel="00000000" w:rsidR="00000000" w:rsidRPr="00000000">
          <w:rPr>
            <w:rFonts w:ascii="Noto Sans" w:cs="Noto Sans" w:eastAsia="Noto Sans" w:hAnsi="Noto Sans"/>
            <w:color w:val="1155cc"/>
            <w:sz w:val="24"/>
            <w:szCs w:val="24"/>
            <w:u w:val="single"/>
            <w:rtl w:val="0"/>
          </w:rPr>
          <w:t xml:space="preserve">https://link.springer.com/chapter/10.1007/978-3-319-91797-9_8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0634765625" w:line="320.5565071105957" w:lineRule="auto"/>
        <w:ind w:left="0" w:right="984.9481201171875" w:firstLine="15.155105590820312"/>
        <w:jc w:val="left"/>
        <w:rPr>
          <w:rFonts w:ascii="Noto Sans" w:cs="Noto Sans" w:eastAsia="Noto Sans" w:hAnsi="Noto Sans"/>
          <w:b w:val="1"/>
          <w:i w:val="0"/>
          <w:smallCaps w:val="0"/>
          <w:strike w:val="0"/>
          <w:color w:val="333333"/>
          <w:sz w:val="28.064998626708984"/>
          <w:szCs w:val="28.064998626708984"/>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998626708984"/>
          <w:szCs w:val="28.064998626708984"/>
          <w:u w:val="none"/>
          <w:shd w:fill="auto" w:val="clear"/>
          <w:vertAlign w:val="baseline"/>
          <w:rtl w:val="0"/>
        </w:rPr>
        <w:t xml:space="preserve">7.5. Advanced Predictive Analytics for Real Estate and Property Valuation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306640625" w:line="321.7462635040283" w:lineRule="auto"/>
        <w:ind w:left="13.60260009765625" w:right="-10.9130859375" w:hanging="5.03997802734375"/>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This module enhances financial intelligence by providing sophisticated predictive capabilities for real estate market trends and property valuation. It forecasts market movements, estimates property values based on comprehensive factors, identifies investment opportunities, and integrates financial risk assessment into recommendations [6, 7, 8, 9].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45166015625" w:line="312.3750114440918" w:lineRule="auto"/>
        <w:ind w:left="0" w:right="1222.44140625" w:firstLine="0"/>
        <w:jc w:val="left"/>
        <w:rPr>
          <w:rFonts w:ascii="Noto Sans" w:cs="Noto Sans" w:eastAsia="Noto Sans" w:hAnsi="Noto Sans"/>
          <w:b w:val="0"/>
          <w:i w:val="0"/>
          <w:smallCaps w:val="0"/>
          <w:strike w:val="0"/>
          <w:color w:val="333333"/>
          <w:sz w:val="24"/>
          <w:szCs w:val="24"/>
          <w:u w:val="none"/>
          <w:shd w:fill="auto" w:val="clear"/>
          <w:vertAlign w:val="baseline"/>
        </w:rPr>
      </w:pPr>
      <w:hyperlink r:id="rId11">
        <w:r w:rsidDel="00000000" w:rsidR="00000000" w:rsidRPr="00000000">
          <w:rPr>
            <w:rFonts w:ascii="Noto Sans" w:cs="Noto Sans" w:eastAsia="Noto Sans" w:hAnsi="Noto Sans"/>
            <w:b w:val="1"/>
            <w:color w:val="1155cc"/>
            <w:sz w:val="36"/>
            <w:szCs w:val="36"/>
            <w:u w:val="single"/>
            <w:rtl w:val="0"/>
          </w:rPr>
          <w:t xml:space="preserve">https://predikdata.com/predictive-modeling-the-new-real-estate-journey/</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545166015625" w:line="240" w:lineRule="auto"/>
        <w:ind w:left="30.642623901367188" w:right="0" w:firstLine="0"/>
        <w:jc w:val="left"/>
        <w:rPr>
          <w:rFonts w:ascii="Noto Sans" w:cs="Noto Sans" w:eastAsia="Noto Sans" w:hAnsi="Noto Sans"/>
          <w:b w:val="1"/>
          <w:i w:val="0"/>
          <w:smallCaps w:val="0"/>
          <w:strike w:val="0"/>
          <w:color w:val="33333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8037109375" w:line="321.7462635040283" w:lineRule="auto"/>
        <w:ind w:left="8.802566528320312" w:right="-12.049560546875" w:firstLine="0"/>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73828125" w:line="240" w:lineRule="auto"/>
        <w:ind w:left="30.642623901367188" w:right="0" w:firstLine="0"/>
        <w:jc w:val="left"/>
        <w:rPr>
          <w:rFonts w:ascii="Noto Sans" w:cs="Noto Sans" w:eastAsia="Noto Sans" w:hAnsi="Noto Sans"/>
          <w:b w:val="1"/>
          <w:i w:val="0"/>
          <w:smallCaps w:val="0"/>
          <w:strike w:val="0"/>
          <w:color w:val="333333"/>
          <w:sz w:val="36"/>
          <w:szCs w:val="36"/>
          <w:u w:val="none"/>
          <w:shd w:fill="auto" w:val="clear"/>
          <w:vertAlign w:val="baseline"/>
        </w:rPr>
      </w:pPr>
      <w:r w:rsidDel="00000000" w:rsidR="00000000" w:rsidRPr="00000000">
        <w:rPr>
          <w:rFonts w:ascii="Noto Sans" w:cs="Noto Sans" w:eastAsia="Noto Sans" w:hAnsi="Noto Sans"/>
          <w:b w:val="1"/>
          <w:i w:val="0"/>
          <w:smallCaps w:val="0"/>
          <w:strike w:val="0"/>
          <w:color w:val="333333"/>
          <w:sz w:val="36"/>
          <w:szCs w:val="36"/>
          <w:u w:val="none"/>
          <w:shd w:fill="auto" w:val="clear"/>
          <w:vertAlign w:val="baseline"/>
          <w:rtl w:val="0"/>
        </w:rPr>
        <w:t xml:space="preserve">11. Expected Impact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797607421875" w:line="320.70502281188965" w:lineRule="auto"/>
        <w:ind w:left="8.802566528320312" w:right="-12.147216796875" w:firstLine="16.56005859375"/>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LIS is expected to deliver a functional platform for superior location decisions, reduce risks in disaster-prone regions, integrate geospatial intelligence with advanced analytics, and demonstrate interdisciplinary skills. It aims to empower millions to find safer, more suitable places to live, work, and thrive.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215087890625" w:line="240" w:lineRule="auto"/>
        <w:ind w:left="30.642623901367188" w:right="0" w:firstLine="0"/>
        <w:jc w:val="left"/>
        <w:rPr>
          <w:rFonts w:ascii="Noto Sans" w:cs="Noto Sans" w:eastAsia="Noto Sans" w:hAnsi="Noto Sans"/>
          <w:b w:val="1"/>
          <w:i w:val="0"/>
          <w:smallCaps w:val="0"/>
          <w:strike w:val="0"/>
          <w:color w:val="333333"/>
          <w:sz w:val="36"/>
          <w:szCs w:val="36"/>
          <w:u w:val="none"/>
          <w:shd w:fill="auto" w:val="clear"/>
          <w:vertAlign w:val="baseline"/>
        </w:rPr>
      </w:pPr>
      <w:r w:rsidDel="00000000" w:rsidR="00000000" w:rsidRPr="00000000">
        <w:rPr>
          <w:rFonts w:ascii="Noto Sans" w:cs="Noto Sans" w:eastAsia="Noto Sans" w:hAnsi="Noto Sans"/>
          <w:b w:val="1"/>
          <w:i w:val="0"/>
          <w:smallCaps w:val="0"/>
          <w:strike w:val="0"/>
          <w:color w:val="333333"/>
          <w:sz w:val="36"/>
          <w:szCs w:val="36"/>
          <w:u w:val="none"/>
          <w:shd w:fill="auto" w:val="clear"/>
          <w:vertAlign w:val="baseline"/>
          <w:rtl w:val="0"/>
        </w:rPr>
        <w:t xml:space="preserve">12. References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8006591796875" w:line="318.2892322540283" w:lineRule="auto"/>
        <w:ind w:left="8.802566528320312" w:right="-11.368408203125" w:firstLine="17.760009765625"/>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[1] Huang, J., Bibri, S. E., &amp; Keel, P. (2025). Generative spatial artificial intelligence for sustainable smart cities: A pioneering large flow model for urban digital twin.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Environmental Science and Ecotechnology</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24</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 100526.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https://www.sciencedirect.com/science/article/pii/S2666498425000043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[2] Li, X., et al. (2023). Application of human–computer interaction virtual reality technology in urban cultural creative design.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Scientific Reports</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13</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(1), 15007.</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5181999206543" w:lineRule="auto"/>
        <w:ind w:left="9.042587280273438" w:right="-11.40869140625" w:firstLine="14.160003662109375"/>
        <w:jc w:val="both"/>
        <w:rPr>
          <w:rFonts w:ascii="Noto Sans" w:cs="Noto Sans" w:eastAsia="Noto Sans" w:hAnsi="Noto Sans"/>
          <w:b w:val="0"/>
          <w:i w:val="0"/>
          <w:smallCaps w:val="0"/>
          <w:strike w:val="0"/>
          <w:color w:val="0000ee"/>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https://www.nature.com/articles/s41598-023-41566-8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[3] Wang, Y., et al. (2022). A framework for human-computer interactive street network design.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Computers, Environment and Urban Systems</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94</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 101799.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https://www.sciencedirect.com/science/article/abs/pii/S0198971522000977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[4] Li, X., &amp; Li, Y. (2018). The Application of Human-Computer Interaction in Smart City Planning. In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Smart City Planning and Development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(pp. 95-104). Springer, Cham.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https://link.springer.com/chapter/10.1007/978-3-319-91797-9_8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[5] Huang, J., &amp; Bibri, S. E. (2025). Understanding Human-LLM Interaction Patterns in Urban Planning.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SSRN</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https://papers.ssrn.com/sol3/papers.cfm?abstract_id=5169176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[6] The Close. (2024). Predictive Analytics Best Practices for Real Estate Agents.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https://theclose.com/best real-estate-predictive-analytics-companies/</w:t>
      </w:r>
      <w:r w:rsidDel="00000000" w:rsidR="00000000" w:rsidRPr="00000000">
        <w:rPr>
          <w:rFonts w:ascii="Noto Sans" w:cs="Noto Sans" w:eastAsia="Noto Sans" w:hAnsi="Noto Sans"/>
          <w:b w:val="0"/>
          <w:i w:val="0"/>
          <w:smallCaps w:val="0"/>
          <w:strike w:val="0"/>
          <w:color w:val="0000ee"/>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[7] Matellio Inc. (2024). How to Implement Predictive Analytics in Real Estate?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https://www.matellio.com/blog/predictive analytics-in-real-estate/</w:t>
      </w:r>
      <w:r w:rsidDel="00000000" w:rsidR="00000000" w:rsidRPr="00000000">
        <w:rPr>
          <w:rFonts w:ascii="Noto Sans" w:cs="Noto Sans" w:eastAsia="Noto Sans" w:hAnsi="Noto Sans"/>
          <w:b w:val="0"/>
          <w:i w:val="0"/>
          <w:smallCaps w:val="0"/>
          <w:strike w:val="0"/>
          <w:color w:val="0000ee"/>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[8] Predikdata. (n.d.). Predictive Analytics for Real Estate: Using Data for Strategic Decisions.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https://predikdata.com/predictive-modeling-the new-real-estate-journey/</w:t>
      </w:r>
      <w:r w:rsidDel="00000000" w:rsidR="00000000" w:rsidRPr="00000000">
        <w:rPr>
          <w:rFonts w:ascii="Noto Sans" w:cs="Noto Sans" w:eastAsia="Noto Sans" w:hAnsi="Noto Sans"/>
          <w:b w:val="0"/>
          <w:i w:val="0"/>
          <w:smallCaps w:val="0"/>
          <w:strike w:val="0"/>
          <w:color w:val="0000ee"/>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[9] Housing Wire. (2025). Predictive Analytics for Real Estate: Best Tools + Guide.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https://www.housingwire.com/articles/predictive-analytics-real estate/</w:t>
      </w:r>
      <w:r w:rsidDel="00000000" w:rsidR="00000000" w:rsidRPr="00000000">
        <w:rPr>
          <w:rFonts w:ascii="Noto Sans" w:cs="Noto Sans" w:eastAsia="Noto Sans" w:hAnsi="Noto Sans"/>
          <w:b w:val="0"/>
          <w:i w:val="0"/>
          <w:smallCaps w:val="0"/>
          <w:strike w:val="0"/>
          <w:color w:val="0000ee"/>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[10] Number Analytics. (2025). Mastering Spatial Data Visualization.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https://www.numberanalytics.com/blog/mastering-spatial-data-visualization</w:t>
      </w:r>
      <w:r w:rsidDel="00000000" w:rsidR="00000000" w:rsidRPr="00000000">
        <w:rPr>
          <w:rFonts w:ascii="Noto Sans" w:cs="Noto Sans" w:eastAsia="Noto Sans" w:hAnsi="Noto Sans"/>
          <w:b w:val="0"/>
          <w:i w:val="0"/>
          <w:smallCaps w:val="0"/>
          <w:strike w:val="0"/>
          <w:color w:val="0000ee"/>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[11] CARTO. (2024). 24 of the best maps, visualizations &amp; analysis from 2024.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https://carto.com/blog/2024-best-maps-dataviz</w:t>
      </w:r>
      <w:r w:rsidDel="00000000" w:rsidR="00000000" w:rsidRPr="00000000">
        <w:rPr>
          <w:rFonts w:ascii="Noto Sans" w:cs="Noto Sans" w:eastAsia="Noto Sans" w:hAnsi="Noto Sans"/>
          <w:b w:val="0"/>
          <w:i w:val="0"/>
          <w:smallCaps w:val="0"/>
          <w:strike w:val="0"/>
          <w:color w:val="0000ee"/>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[12] GeoDa Center. (n.d.). GeoDa - An Introduction to Spatial Data Science.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https://geodacenter.github.io/</w:t>
      </w:r>
      <w:r w:rsidDel="00000000" w:rsidR="00000000" w:rsidRPr="00000000">
        <w:rPr>
          <w:rFonts w:ascii="Noto Sans" w:cs="Noto Sans" w:eastAsia="Noto Sans" w:hAnsi="Noto Sans"/>
          <w:b w:val="0"/>
          <w:i w:val="0"/>
          <w:smallCaps w:val="0"/>
          <w:strike w:val="0"/>
          <w:color w:val="0000ee"/>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[13] Chen, J., et al. (2025). Generative AI for Urban Planning: Synthesizing Satellite Imagery via Diffusion Models.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arXiv preprint arXiv:2505.08833</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https://arxiv.org/abs/2505.08833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[14] Ocal, F. E., &amp; Torun, S. (2025). Leveraging Artificial Intelligence for Enhanced Disaster Response Coordination.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International Journal of Disaster Risk Management</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7</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(1), 235-246.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https://internationaljournalofdisasterriskmanagement.com/Vol1/article/view/145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[15] Urban AI. (2024). Urban Simulation + Generative AI. </w:t>
      </w: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Medium</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https://medium.com/urban-ai/urban-ai/urban-simulation-generative-ai-</w:t>
      </w:r>
      <w:r w:rsidDel="00000000" w:rsidR="00000000" w:rsidRPr="00000000">
        <w:rPr>
          <w:rFonts w:ascii="Noto Sans" w:cs="Noto Sans" w:eastAsia="Noto Sans" w:hAnsi="Noto Sans"/>
          <w:b w:val="0"/>
          <w:i w:val="0"/>
          <w:smallCaps w:val="0"/>
          <w:strike w:val="0"/>
          <w:color w:val="0000ee"/>
          <w:sz w:val="24"/>
          <w:szCs w:val="24"/>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3231201171875" w:line="240" w:lineRule="auto"/>
        <w:ind w:left="13.12255859375" w:right="0" w:firstLine="0"/>
        <w:jc w:val="left"/>
        <w:rPr>
          <w:rFonts w:ascii="Noto Sans" w:cs="Noto Sans" w:eastAsia="Noto Sans" w:hAnsi="Noto Sans"/>
          <w:b w:val="0"/>
          <w:i w:val="0"/>
          <w:smallCaps w:val="0"/>
          <w:strike w:val="0"/>
          <w:color w:val="0000ee"/>
          <w:sz w:val="24"/>
          <w:szCs w:val="24"/>
          <w:u w:val="single"/>
          <w:shd w:fill="auto" w:val="clear"/>
          <w:vertAlign w:val="baseline"/>
        </w:rPr>
      </w:pPr>
      <w:r w:rsidDel="00000000" w:rsidR="00000000" w:rsidRPr="00000000">
        <w:rPr>
          <w:rFonts w:ascii="Noto Sans" w:cs="Noto Sans" w:eastAsia="Noto Sans" w:hAnsi="Noto Sans"/>
          <w:b w:val="0"/>
          <w:i w:val="0"/>
          <w:smallCaps w:val="0"/>
          <w:strike w:val="0"/>
          <w:color w:val="0000ee"/>
          <w:sz w:val="24"/>
          <w:szCs w:val="24"/>
          <w:u w:val="single"/>
          <w:shd w:fill="auto" w:val="clear"/>
          <w:vertAlign w:val="baseline"/>
          <w:rtl w:val="0"/>
        </w:rPr>
        <w:t xml:space="preserve">0ee8086b0260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61758422851562" w:right="0" w:firstLine="0"/>
        <w:jc w:val="left"/>
        <w:rPr>
          <w:rFonts w:ascii="Noto Sans" w:cs="Noto Sans" w:eastAsia="Noto Sans" w:hAnsi="Noto Sans"/>
          <w:b w:val="1"/>
          <w:i w:val="0"/>
          <w:smallCaps w:val="0"/>
          <w:strike w:val="0"/>
          <w:color w:val="333333"/>
          <w:sz w:val="28.064998626708984"/>
          <w:szCs w:val="28.064998626708984"/>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998626708984"/>
          <w:szCs w:val="28.064998626708984"/>
          <w:u w:val="none"/>
          <w:shd w:fill="auto" w:val="clear"/>
          <w:vertAlign w:val="baseline"/>
          <w:rtl w:val="0"/>
        </w:rPr>
        <w:t xml:space="preserve">Figure 1: Urban Digital Twin Visualization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298828125" w:line="240" w:lineRule="auto"/>
        <w:ind w:left="0" w:right="0" w:firstLine="0"/>
        <w:jc w:val="center"/>
        <w:rPr>
          <w:rFonts w:ascii="Noto Sans" w:cs="Noto Sans" w:eastAsia="Noto Sans" w:hAnsi="Noto Sans"/>
          <w:b w:val="1"/>
          <w:i w:val="0"/>
          <w:smallCaps w:val="0"/>
          <w:strike w:val="0"/>
          <w:color w:val="333333"/>
          <w:sz w:val="28.064998626708984"/>
          <w:szCs w:val="28.064998626708984"/>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998626708984"/>
          <w:szCs w:val="28.064998626708984"/>
          <w:u w:val="none"/>
          <w:shd w:fill="auto" w:val="clear"/>
          <w:vertAlign w:val="baseline"/>
        </w:rPr>
        <w:drawing>
          <wp:inline distB="19050" distT="19050" distL="19050" distR="19050">
            <wp:extent cx="6124575" cy="34671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245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8810234069824" w:lineRule="auto"/>
        <w:ind w:left="8.5626220703125" w:right="-19.19921875" w:hanging="0.959930419921875"/>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This image illustrates a complex urban digital twin, showcasing the integration of physical and virtual layers to model city dynamics. Such visualizations are crucial for understanding the intricate relationships within urban environments and are a demanding aspect of the Generative Spatial Intelligence module.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[Source: MDPI]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6180419921875" w:line="240" w:lineRule="auto"/>
        <w:ind w:left="26.661758422851562" w:right="0" w:firstLine="0"/>
        <w:jc w:val="left"/>
        <w:rPr>
          <w:rFonts w:ascii="Noto Sans" w:cs="Noto Sans" w:eastAsia="Noto Sans" w:hAnsi="Noto Sans"/>
          <w:b w:val="1"/>
          <w:i w:val="0"/>
          <w:smallCaps w:val="0"/>
          <w:strike w:val="0"/>
          <w:color w:val="333333"/>
          <w:sz w:val="28.064998626708984"/>
          <w:szCs w:val="28.064998626708984"/>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998626708984"/>
          <w:szCs w:val="28.064998626708984"/>
          <w:u w:val="none"/>
          <w:shd w:fill="auto" w:val="clear"/>
          <w:vertAlign w:val="baseline"/>
          <w:rtl w:val="0"/>
        </w:rPr>
        <w:t xml:space="preserve">Figure 2: Geospatial AI for Urban Planning</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298828125" w:line="240" w:lineRule="auto"/>
        <w:ind w:left="0" w:right="0" w:firstLine="0"/>
        <w:jc w:val="center"/>
        <w:rPr>
          <w:rFonts w:ascii="Noto Sans" w:cs="Noto Sans" w:eastAsia="Noto Sans" w:hAnsi="Noto Sans"/>
          <w:b w:val="1"/>
          <w:i w:val="0"/>
          <w:smallCaps w:val="0"/>
          <w:strike w:val="0"/>
          <w:color w:val="333333"/>
          <w:sz w:val="28.064998626708984"/>
          <w:szCs w:val="28.064998626708984"/>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998626708984"/>
          <w:szCs w:val="28.064998626708984"/>
          <w:u w:val="none"/>
          <w:shd w:fill="auto" w:val="clear"/>
          <w:vertAlign w:val="baseline"/>
        </w:rPr>
        <w:drawing>
          <wp:inline distB="19050" distT="19050" distL="19050" distR="19050">
            <wp:extent cx="6124575" cy="344805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245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88022232055664" w:lineRule="auto"/>
        <w:ind w:left="8.5626220703125" w:right="-12.130126953125" w:hanging="4.3199920654296875"/>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This visual demonstrates the application of geospatial AI in urban planning, highlighting how generative models can be used to synthesize satellite imagery and unlock insights for various urban challenges. This represents the advanced capabilities envisioned for the LIS.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[Source: Google Research]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61865234375" w:line="240" w:lineRule="auto"/>
        <w:ind w:left="26.661758422851562" w:right="0" w:firstLine="0"/>
        <w:jc w:val="left"/>
        <w:rPr>
          <w:rFonts w:ascii="Noto Sans" w:cs="Noto Sans" w:eastAsia="Noto Sans" w:hAnsi="Noto Sans"/>
          <w:b w:val="1"/>
          <w:i w:val="0"/>
          <w:smallCaps w:val="0"/>
          <w:strike w:val="0"/>
          <w:color w:val="333333"/>
          <w:sz w:val="28.064998626708984"/>
          <w:szCs w:val="28.064998626708984"/>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998626708984"/>
          <w:szCs w:val="28.064998626708984"/>
          <w:u w:val="none"/>
          <w:shd w:fill="auto" w:val="clear"/>
          <w:vertAlign w:val="baseline"/>
          <w:rtl w:val="0"/>
        </w:rPr>
        <w:t xml:space="preserve">Figure 3: Spatial Data Visualization Example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298828125" w:line="240" w:lineRule="auto"/>
        <w:ind w:left="0" w:right="0" w:firstLine="0"/>
        <w:jc w:val="center"/>
        <w:rPr>
          <w:rFonts w:ascii="Noto Sans" w:cs="Noto Sans" w:eastAsia="Noto Sans" w:hAnsi="Noto Sans"/>
          <w:b w:val="1"/>
          <w:i w:val="0"/>
          <w:smallCaps w:val="0"/>
          <w:strike w:val="0"/>
          <w:color w:val="333333"/>
          <w:sz w:val="28.064998626708984"/>
          <w:szCs w:val="28.064998626708984"/>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998626708984"/>
          <w:szCs w:val="28.064998626708984"/>
          <w:u w:val="none"/>
          <w:shd w:fill="auto" w:val="clear"/>
          <w:vertAlign w:val="baseline"/>
        </w:rPr>
        <w:drawing>
          <wp:inline distB="19050" distT="19050" distL="19050" distR="19050">
            <wp:extent cx="6096000" cy="427672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0960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8810234069824" w:lineRule="auto"/>
        <w:ind w:left="2.0825958251953125" w:right="-10.8837890625" w:hanging="5.52001953125"/>
        <w:jc w:val="both"/>
        <w:rPr>
          <w:rFonts w:ascii="Noto Sans" w:cs="Noto Sans" w:eastAsia="Noto Sans" w:hAnsi="Noto Sans"/>
          <w:b w:val="0"/>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333333"/>
          <w:sz w:val="24.366518020629883"/>
          <w:szCs w:val="24.366518020629883"/>
          <w:u w:val="none"/>
          <w:shd w:fill="auto" w:val="clear"/>
          <w:vertAlign w:val="baseline"/>
          <w:rtl w:val="0"/>
        </w:rPr>
        <w:t xml:space="preserve">An example of advanced spatial data visualization, showcasing different methods to represent geospatial information. High-quality, interactive visualizations like these are essential for presenting the complex outputs of LIS in an intuitive and understandable way for both expert and layman users. </w:t>
      </w:r>
      <w:r w:rsidDel="00000000" w:rsidR="00000000" w:rsidRPr="00000000">
        <w:rPr>
          <w:rFonts w:ascii="Noto Sans" w:cs="Noto Sans" w:eastAsia="Noto Sans" w:hAnsi="Noto Sans"/>
          <w:b w:val="0"/>
          <w:i w:val="0"/>
          <w:smallCaps w:val="0"/>
          <w:strike w:val="0"/>
          <w:color w:val="333333"/>
          <w:sz w:val="24"/>
          <w:szCs w:val="24"/>
          <w:u w:val="none"/>
          <w:shd w:fill="auto" w:val="clear"/>
          <w:vertAlign w:val="baseline"/>
          <w:rtl w:val="0"/>
        </w:rPr>
        <w:t xml:space="preserve">[Source: SafeGraph]</w:t>
      </w:r>
    </w:p>
    <w:sectPr>
      <w:pgSz w:h="16820" w:w="11880" w:orient="portrait"/>
      <w:pgMar w:bottom="1238.399658203125" w:top="1181.33544921875" w:left="1138.8774108886719" w:right="1057.622070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predikdata.com/predictive-modeling-the-new-real-estate-journey/" TargetMode="External"/><Relationship Id="rId10" Type="http://schemas.openxmlformats.org/officeDocument/2006/relationships/hyperlink" Target="https://link.springer.com/chapter/10.1007/978-3-319-91797-9_8"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science/article/pii/S2666498425000043"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arxiv.org/abs/2505.08833" TargetMode="External"/><Relationship Id="rId7" Type="http://schemas.openxmlformats.org/officeDocument/2006/relationships/hyperlink" Target="https://papers.ssrn.com/sol3/papers.cfm?abstract_id=5169176" TargetMode="External"/><Relationship Id="rId8" Type="http://schemas.openxmlformats.org/officeDocument/2006/relationships/hyperlink" Target="https://internationaljournalofdisasterriskmanagement.com/Vol1/article/view/14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