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5A7082"/>
          <w:sz w:val="18"/>
        </w:rPr>
        <w:t>RESEARCH BRIEF  /  PERSONALITY × STORY GAME</w:t>
      </w:r>
    </w:p>
    <w:p>
      <w:pPr>
        <w:pStyle w:val="Title"/>
      </w:pPr>
      <w:r>
        <w:t>異世界ダンジョン型</w:t>
        <w:br/>
        <w:t>性格診断のための心理学的基盤</w:t>
      </w:r>
    </w:p>
    <w:p>
      <w:r>
        <w:rPr>
          <w:color w:val="505F6E"/>
          <w:sz w:val="28"/>
        </w:rPr>
        <w:t>論文調査・分類モデル・イベント設計への変換案</w:t>
      </w:r>
    </w:p>
    <w:p>
      <w:r>
        <w:t>目的：心理学研究で扱われる性格特性を土台に、異世界転生した主人公がダンジョン内の出来事に対して二択で行動を選ぶ、短時間の性格診断体験を設計する。</w:t>
      </w:r>
    </w:p>
    <w:p>
      <w:pPr>
        <w:pStyle w:val="Heading1"/>
      </w:pPr>
      <w:r>
        <w:t>要約</w:t>
      </w:r>
    </w:p>
    <w:p>
      <w:pPr>
        <w:pStyle w:val="ListBullet"/>
        <w:spacing w:after="40"/>
      </w:pPr>
      <w:r>
        <w:t>推奨する理論的な基盤は Big Five。日本語版BFI-2は、5領域・15下位特性の構造、信頼性、妥当性などが日本人の大学生487人と成人500人のデータで検討されている。[1]</w:t>
      </w:r>
    </w:p>
    <w:p>
      <w:pPr>
        <w:pStyle w:val="ListBullet"/>
        <w:spacing w:after="40"/>
      </w:pPr>
      <w:r>
        <w:t>ライト診断では4〜6程度のキャラクター分類を提示し、内部では性格を固定タイプだけでなく連続的な特性プロフィールとして扱う。</w:t>
      </w:r>
    </w:p>
    <w:p>
      <w:pPr>
        <w:pStyle w:val="ListBullet"/>
        <w:spacing w:after="40"/>
      </w:pPr>
      <w:r>
        <w:t>ダンジョンイベントは、性格特性から逆算して作成する。ただし、ゲーム内の選択が性格特性を測定できるという対応は仮説であり、独自の検証が必要。</w:t>
      </w:r>
    </w:p>
    <w:p>
      <w:pPr>
        <w:pStyle w:val="ListBullet"/>
        <w:spacing w:after="40"/>
      </w:pPr>
      <w:r>
        <w:t>短い二択だけで高精度な心理測定を主張しない。まずはエンターテインメントとして公開し、検証済み尺度との比較調査を経て測定精度を評価する。</w:t>
      </w:r>
    </w:p>
    <w:p>
      <w:pPr>
        <w:pStyle w:val="Heading1"/>
      </w:pPr>
      <w:r>
        <w:t>1. 研究から採用する分類モデル</w:t>
      </w:r>
    </w:p>
    <w:p>
      <w:pPr>
        <w:pStyle w:val="Heading2"/>
      </w:pPr>
      <w:r>
        <w:t>1.1 Big Five / BFI-2 を第一候補にする</w:t>
      </w:r>
    </w:p>
    <w:p>
      <w:r>
        <w:t>Big Fiveは、性格を5つの広い次元で捉える枠組み。BFI-2は5領域に加え、各領域を3つの下位特性に分ける階層構造を採用している。[2] 日本語版BFI-2の検証研究では、大学生サンプル487人と成人サンプル500人を用いて、因子構造、信頼性、妥当性、年齢・性別群間の測定不変性などが検討された。[1]</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CE7F0"/>
          </w:tcPr>
          <w:p>
            <w:pPr>
              <w:spacing w:after="20"/>
            </w:pPr>
            <w:r/>
            <w:r>
              <w:rPr>
                <w:rFonts w:ascii="Yu Gothic" w:hAnsi="Yu Gothic" w:eastAsia="Yu Gothic"/>
                <w:b/>
                <w:sz w:val="17"/>
              </w:rPr>
              <w:t>領域（日本語の説明）</w:t>
            </w:r>
          </w:p>
        </w:tc>
        <w:tc>
          <w:tcPr>
            <w:tcW w:type="dxa" w:w="3408"/>
            <w:vAlign w:val="center"/>
            <w:shd w:fill="DCE7F0"/>
          </w:tcPr>
          <w:p>
            <w:pPr>
              <w:spacing w:after="20"/>
            </w:pPr>
            <w:r/>
            <w:r>
              <w:rPr>
                <w:rFonts w:ascii="Yu Gothic" w:hAnsi="Yu Gothic" w:eastAsia="Yu Gothic"/>
                <w:b/>
                <w:sz w:val="17"/>
              </w:rPr>
              <w:t>BFI-2の下位特性</w:t>
            </w:r>
          </w:p>
        </w:tc>
        <w:tc>
          <w:tcPr>
            <w:tcW w:type="dxa" w:w="3408"/>
            <w:vAlign w:val="center"/>
            <w:shd w:fill="DCE7F0"/>
          </w:tcPr>
          <w:p>
            <w:pPr>
              <w:spacing w:after="20"/>
            </w:pPr>
            <w:r/>
            <w:r>
              <w:rPr>
                <w:rFonts w:ascii="Yu Gothic" w:hAnsi="Yu Gothic" w:eastAsia="Yu Gothic"/>
                <w:b/>
                <w:sz w:val="17"/>
              </w:rPr>
              <w:t>イベントで観察する候補</w:t>
            </w:r>
          </w:p>
        </w:tc>
      </w:tr>
      <w:tr>
        <w:tc>
          <w:tcPr>
            <w:tcW w:type="dxa" w:w="3408"/>
            <w:vAlign w:val="center"/>
          </w:tcPr>
          <w:p>
            <w:pPr>
              <w:spacing w:after="20"/>
            </w:pPr>
            <w:r/>
            <w:r>
              <w:rPr>
                <w:rFonts w:ascii="Yu Gothic" w:hAnsi="Yu Gothic" w:eastAsia="Yu Gothic"/>
                <w:b w:val="0"/>
                <w:sz w:val="16"/>
              </w:rPr>
              <w:t>外向性</w:t>
            </w:r>
          </w:p>
        </w:tc>
        <w:tc>
          <w:tcPr>
            <w:tcW w:type="dxa" w:w="3408"/>
            <w:vAlign w:val="center"/>
          </w:tcPr>
          <w:p>
            <w:pPr>
              <w:spacing w:after="20"/>
            </w:pPr>
            <w:r/>
            <w:r>
              <w:rPr>
                <w:rFonts w:ascii="Yu Gothic" w:hAnsi="Yu Gothic" w:eastAsia="Yu Gothic"/>
                <w:b w:val="0"/>
                <w:sz w:val="16"/>
              </w:rPr>
              <w:t>社交性・主張性・活力</w:t>
            </w:r>
          </w:p>
        </w:tc>
        <w:tc>
          <w:tcPr>
            <w:tcW w:type="dxa" w:w="3408"/>
            <w:vAlign w:val="center"/>
          </w:tcPr>
          <w:p>
            <w:pPr>
              <w:spacing w:after="20"/>
            </w:pPr>
            <w:r/>
            <w:r>
              <w:rPr>
                <w:rFonts w:ascii="Yu Gothic" w:hAnsi="Yu Gothic" w:eastAsia="Yu Gothic"/>
                <w:b w:val="0"/>
                <w:sz w:val="16"/>
              </w:rPr>
              <w:t>初対面の冒険者への接近、集団内での発言・主導</w:t>
            </w:r>
          </w:p>
        </w:tc>
      </w:tr>
      <w:tr>
        <w:tc>
          <w:tcPr>
            <w:tcW w:type="dxa" w:w="3408"/>
            <w:vAlign w:val="center"/>
            <w:shd w:fill="F7F9FB"/>
          </w:tcPr>
          <w:p>
            <w:pPr>
              <w:spacing w:after="20"/>
            </w:pPr>
            <w:r/>
            <w:r>
              <w:rPr>
                <w:rFonts w:ascii="Yu Gothic" w:hAnsi="Yu Gothic" w:eastAsia="Yu Gothic"/>
                <w:b w:val="0"/>
                <w:sz w:val="16"/>
              </w:rPr>
              <w:t>協調性</w:t>
            </w:r>
          </w:p>
        </w:tc>
        <w:tc>
          <w:tcPr>
            <w:tcW w:type="dxa" w:w="3408"/>
            <w:vAlign w:val="center"/>
            <w:shd w:fill="F7F9FB"/>
          </w:tcPr>
          <w:p>
            <w:pPr>
              <w:spacing w:after="20"/>
            </w:pPr>
            <w:r/>
            <w:r>
              <w:rPr>
                <w:rFonts w:ascii="Yu Gothic" w:hAnsi="Yu Gothic" w:eastAsia="Yu Gothic"/>
                <w:b w:val="0"/>
                <w:sz w:val="16"/>
              </w:rPr>
              <w:t>思いやり・敬意・信頼</w:t>
            </w:r>
          </w:p>
        </w:tc>
        <w:tc>
          <w:tcPr>
            <w:tcW w:type="dxa" w:w="3408"/>
            <w:vAlign w:val="center"/>
            <w:shd w:fill="F7F9FB"/>
          </w:tcPr>
          <w:p>
            <w:pPr>
              <w:spacing w:after="20"/>
            </w:pPr>
            <w:r/>
            <w:r>
              <w:rPr>
                <w:rFonts w:ascii="Yu Gothic" w:hAnsi="Yu Gothic" w:eastAsia="Yu Gothic"/>
                <w:b w:val="0"/>
                <w:sz w:val="16"/>
              </w:rPr>
              <w:t>困っている仲間への対応、対立時の振る舞い</w:t>
            </w:r>
          </w:p>
        </w:tc>
      </w:tr>
      <w:tr>
        <w:tc>
          <w:tcPr>
            <w:tcW w:type="dxa" w:w="3408"/>
            <w:vAlign w:val="center"/>
          </w:tcPr>
          <w:p>
            <w:pPr>
              <w:spacing w:after="20"/>
            </w:pPr>
            <w:r/>
            <w:r>
              <w:rPr>
                <w:rFonts w:ascii="Yu Gothic" w:hAnsi="Yu Gothic" w:eastAsia="Yu Gothic"/>
                <w:b w:val="0"/>
                <w:sz w:val="16"/>
              </w:rPr>
              <w:t>誠実性</w:t>
            </w:r>
          </w:p>
        </w:tc>
        <w:tc>
          <w:tcPr>
            <w:tcW w:type="dxa" w:w="3408"/>
            <w:vAlign w:val="center"/>
          </w:tcPr>
          <w:p>
            <w:pPr>
              <w:spacing w:after="20"/>
            </w:pPr>
            <w:r/>
            <w:r>
              <w:rPr>
                <w:rFonts w:ascii="Yu Gothic" w:hAnsi="Yu Gothic" w:eastAsia="Yu Gothic"/>
                <w:b w:val="0"/>
                <w:sz w:val="16"/>
              </w:rPr>
              <w:t>整理整頓・生産性・責任感</w:t>
            </w:r>
          </w:p>
        </w:tc>
        <w:tc>
          <w:tcPr>
            <w:tcW w:type="dxa" w:w="3408"/>
            <w:vAlign w:val="center"/>
          </w:tcPr>
          <w:p>
            <w:pPr>
              <w:spacing w:after="20"/>
            </w:pPr>
            <w:r/>
            <w:r>
              <w:rPr>
                <w:rFonts w:ascii="Yu Gothic" w:hAnsi="Yu Gothic" w:eastAsia="Yu Gothic"/>
                <w:b w:val="0"/>
                <w:sz w:val="16"/>
              </w:rPr>
              <w:t>装備準備、資源管理、約束・任務への取り組み</w:t>
            </w:r>
          </w:p>
        </w:tc>
      </w:tr>
      <w:tr>
        <w:tc>
          <w:tcPr>
            <w:tcW w:type="dxa" w:w="3408"/>
            <w:vAlign w:val="center"/>
            <w:shd w:fill="F7F9FB"/>
          </w:tcPr>
          <w:p>
            <w:pPr>
              <w:spacing w:after="20"/>
            </w:pPr>
            <w:r/>
            <w:r>
              <w:rPr>
                <w:rFonts w:ascii="Yu Gothic" w:hAnsi="Yu Gothic" w:eastAsia="Yu Gothic"/>
                <w:b w:val="0"/>
                <w:sz w:val="16"/>
              </w:rPr>
              <w:t>ネガティブ感情性</w:t>
            </w:r>
          </w:p>
        </w:tc>
        <w:tc>
          <w:tcPr>
            <w:tcW w:type="dxa" w:w="3408"/>
            <w:vAlign w:val="center"/>
            <w:shd w:fill="F7F9FB"/>
          </w:tcPr>
          <w:p>
            <w:pPr>
              <w:spacing w:after="20"/>
            </w:pPr>
            <w:r/>
            <w:r>
              <w:rPr>
                <w:rFonts w:ascii="Yu Gothic" w:hAnsi="Yu Gothic" w:eastAsia="Yu Gothic"/>
                <w:b w:val="0"/>
                <w:sz w:val="16"/>
              </w:rPr>
              <w:t>不安・抑うつ・感情の揺れ</w:t>
            </w:r>
          </w:p>
        </w:tc>
        <w:tc>
          <w:tcPr>
            <w:tcW w:type="dxa" w:w="3408"/>
            <w:vAlign w:val="center"/>
            <w:shd w:fill="F7F9FB"/>
          </w:tcPr>
          <w:p>
            <w:pPr>
              <w:spacing w:after="20"/>
            </w:pPr>
            <w:r/>
            <w:r>
              <w:rPr>
                <w:rFonts w:ascii="Yu Gothic" w:hAnsi="Yu Gothic" w:eastAsia="Yu Gothic"/>
                <w:b w:val="0"/>
                <w:sz w:val="16"/>
              </w:rPr>
              <w:t>失敗や不確実な状況での感情反応・回復</w:t>
            </w:r>
          </w:p>
        </w:tc>
      </w:tr>
      <w:tr>
        <w:tc>
          <w:tcPr>
            <w:tcW w:type="dxa" w:w="3408"/>
            <w:vAlign w:val="center"/>
          </w:tcPr>
          <w:p>
            <w:pPr>
              <w:spacing w:after="20"/>
            </w:pPr>
            <w:r/>
            <w:r>
              <w:rPr>
                <w:rFonts w:ascii="Yu Gothic" w:hAnsi="Yu Gothic" w:eastAsia="Yu Gothic"/>
                <w:b w:val="0"/>
                <w:sz w:val="16"/>
              </w:rPr>
              <w:t>開放性／開かれた心</w:t>
            </w:r>
          </w:p>
        </w:tc>
        <w:tc>
          <w:tcPr>
            <w:tcW w:type="dxa" w:w="3408"/>
            <w:vAlign w:val="center"/>
          </w:tcPr>
          <w:p>
            <w:pPr>
              <w:spacing w:after="20"/>
            </w:pPr>
            <w:r/>
            <w:r>
              <w:rPr>
                <w:rFonts w:ascii="Yu Gothic" w:hAnsi="Yu Gothic" w:eastAsia="Yu Gothic"/>
                <w:b w:val="0"/>
                <w:sz w:val="16"/>
              </w:rPr>
              <w:t>知的好奇心・美的感受性・創造的想像力</w:t>
            </w:r>
          </w:p>
        </w:tc>
        <w:tc>
          <w:tcPr>
            <w:tcW w:type="dxa" w:w="3408"/>
            <w:vAlign w:val="center"/>
          </w:tcPr>
          <w:p>
            <w:pPr>
              <w:spacing w:after="20"/>
            </w:pPr>
            <w:r/>
            <w:r>
              <w:rPr>
                <w:rFonts w:ascii="Yu Gothic" w:hAnsi="Yu Gothic" w:eastAsia="Yu Gothic"/>
                <w:b w:val="0"/>
                <w:sz w:val="16"/>
              </w:rPr>
              <w:t>未知の魔法への関心、謎の解釈、別解の発想</w:t>
            </w:r>
          </w:p>
        </w:tc>
      </w:tr>
    </w:tbl>
    <w:p>
      <w:pPr>
        <w:spacing w:after="20"/>
      </w:pPr>
    </w:p>
    <w:p>
      <w:r>
        <w:t>注意：上記はイベント設計の候補であり、行動選択だけから当該特性を直接測れることが確立しているわけではない。特にネガティブ感情性は、危険回避の選択だけでは測りにくく、感情経験を問う複数の設問や基準尺度との比較が必要。</w:t>
      </w:r>
    </w:p>
    <w:p>
      <w:pPr>
        <w:pStyle w:val="Heading2"/>
      </w:pPr>
      <w:r>
        <w:t>1.2 HEXACOは追加検討候補</w:t>
      </w:r>
    </w:p>
    <w:p>
      <w:r>
        <w:t>HEXACOは、Big Fiveに近い性格モデルに「正直さ・謙虚さ（Honesty-Humility）」を独立した次元として含める6因子モデル。[3] 公正さ、誠実な取引、利己的な誘惑への対応などを作品のテーマにしたい場合に検討価値がある。一方、MVPで測定軸を増やすと設問数と検証負担が増えるため、まずはBig Fiveを主軸にする。</w:t>
      </w:r>
    </w:p>
    <w:p>
      <w:pPr>
        <w:pStyle w:val="Heading2"/>
      </w:pPr>
      <w:r>
        <w:t>1.3 MBTI型の分類をそのまま測定基盤にしない</w:t>
      </w:r>
    </w:p>
    <w:p>
      <w:r>
        <w:t>今回のサービスでは、少数のキャラクタータイプをUI上の表現として使うことはできる。ただし、キャラクター分類を心理学的に確立した類型と同一視しない。研究上の特性プロフィール（連続値）と、ユーザーに提示するキャッチーなタイプ名を分けて設計する。</w:t>
      </w:r>
    </w:p>
    <w:p>
      <w:pPr>
        <w:pStyle w:val="Heading1"/>
      </w:pPr>
      <w:r>
        <w:t>2. 二択・ストーリー形式に関する研究上の論点</w:t>
      </w:r>
    </w:p>
    <w:p>
      <w:pPr>
        <w:pStyle w:val="Heading2"/>
      </w:pPr>
      <w:r>
        <w:t>2.1 強制選択は回答形式であって、妥当性の保証ではない</w:t>
      </w:r>
    </w:p>
    <w:p>
      <w:r>
        <w:t>二択の強制選択形式は、今回の軽快な体験と相性がよい。一方、選択肢の組み合わせや採点方式によって測定上の性質が変わる。強制選択式の性格検査を扱ったメタ分析も、ipsative形式とquasi-ipsative形式などを区別して妥当性を検討している。[4] よって「二択にすれば科学的になる」とは言えない。</w:t>
      </w:r>
    </w:p>
    <w:p>
      <w:pPr>
        <w:pStyle w:val="Heading2"/>
      </w:pPr>
      <w:r>
        <w:t>2.2 短縮尺度の研究を参考にする</w:t>
      </w:r>
    </w:p>
    <w:p>
      <w:r>
        <w:t>日本語Big Five尺度の短縮版研究では、2,099人のデータを用いて項目反応理論（IRT）に基づく項目選択を行い、別の研究で既存尺度との関連や信頼性・妥当性を検討している。[5] これは、項目を単に削るのではなく、測定情報を考慮して短縮する重要性を示す。</w:t>
      </w:r>
    </w:p>
    <w:p>
      <w:r>
        <w:t>BFI-2の60項目版、30項目版、15項目版に関する研究は、短い尺度を検討する際の参考になる。ただし、これらの検証結果は、独自のダンジョン二択にそのまま引き継がれない。[2]</w:t>
      </w:r>
    </w:p>
    <w:p>
      <w:pPr>
        <w:pStyle w:val="Heading1"/>
      </w:pPr>
      <w:r>
        <w:t>3. 性格特性からイベントを逆算する設計方法</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CE7F0"/>
          </w:tcPr>
          <w:p>
            <w:pPr>
              <w:spacing w:after="20"/>
            </w:pPr>
            <w:r/>
            <w:r>
              <w:rPr>
                <w:rFonts w:ascii="Yu Gothic" w:hAnsi="Yu Gothic" w:eastAsia="Yu Gothic"/>
                <w:b/>
                <w:sz w:val="17"/>
              </w:rPr>
              <w:t>設計ステップ</w:t>
            </w:r>
          </w:p>
        </w:tc>
        <w:tc>
          <w:tcPr>
            <w:tcW w:type="dxa" w:w="3408"/>
            <w:vAlign w:val="center"/>
            <w:shd w:fill="DCE7F0"/>
          </w:tcPr>
          <w:p>
            <w:pPr>
              <w:spacing w:after="20"/>
            </w:pPr>
            <w:r/>
            <w:r>
              <w:rPr>
                <w:rFonts w:ascii="Yu Gothic" w:hAnsi="Yu Gothic" w:eastAsia="Yu Gothic"/>
                <w:b/>
                <w:sz w:val="17"/>
              </w:rPr>
              <w:t>決めること</w:t>
            </w:r>
          </w:p>
        </w:tc>
        <w:tc>
          <w:tcPr>
            <w:tcW w:type="dxa" w:w="3408"/>
            <w:vAlign w:val="center"/>
            <w:shd w:fill="DCE7F0"/>
          </w:tcPr>
          <w:p>
            <w:pPr>
              <w:spacing w:after="20"/>
            </w:pPr>
            <w:r/>
            <w:r>
              <w:rPr>
                <w:rFonts w:ascii="Yu Gothic" w:hAnsi="Yu Gothic" w:eastAsia="Yu Gothic"/>
                <w:b/>
                <w:sz w:val="17"/>
              </w:rPr>
              <w:t>成果物</w:t>
            </w:r>
          </w:p>
        </w:tc>
      </w:tr>
      <w:tr>
        <w:tc>
          <w:tcPr>
            <w:tcW w:type="dxa" w:w="3408"/>
            <w:vAlign w:val="center"/>
          </w:tcPr>
          <w:p>
            <w:pPr>
              <w:spacing w:after="20"/>
            </w:pPr>
            <w:r/>
            <w:r>
              <w:rPr>
                <w:rFonts w:ascii="Yu Gothic" w:hAnsi="Yu Gothic" w:eastAsia="Yu Gothic"/>
                <w:b w:val="0"/>
                <w:sz w:val="16"/>
              </w:rPr>
              <w:t>① 特性を定義</w:t>
            </w:r>
          </w:p>
        </w:tc>
        <w:tc>
          <w:tcPr>
            <w:tcW w:type="dxa" w:w="3408"/>
            <w:vAlign w:val="center"/>
          </w:tcPr>
          <w:p>
            <w:pPr>
              <w:spacing w:after="20"/>
            </w:pPr>
            <w:r/>
            <w:r>
              <w:rPr>
                <w:rFonts w:ascii="Yu Gothic" w:hAnsi="Yu Gothic" w:eastAsia="Yu Gothic"/>
                <w:b w:val="0"/>
                <w:sz w:val="16"/>
              </w:rPr>
              <w:t>何を観察するか。例：知的好奇心、責任感、社交性</w:t>
            </w:r>
          </w:p>
        </w:tc>
        <w:tc>
          <w:tcPr>
            <w:tcW w:type="dxa" w:w="3408"/>
            <w:vAlign w:val="center"/>
          </w:tcPr>
          <w:p>
            <w:pPr>
              <w:spacing w:after="20"/>
            </w:pPr>
            <w:r/>
            <w:r>
              <w:rPr>
                <w:rFonts w:ascii="Yu Gothic" w:hAnsi="Yu Gothic" w:eastAsia="Yu Gothic"/>
                <w:b w:val="0"/>
                <w:sz w:val="16"/>
              </w:rPr>
              <w:t>特性定義表</w:t>
            </w:r>
          </w:p>
        </w:tc>
      </w:tr>
      <w:tr>
        <w:tc>
          <w:tcPr>
            <w:tcW w:type="dxa" w:w="3408"/>
            <w:vAlign w:val="center"/>
            <w:shd w:fill="F7F9FB"/>
          </w:tcPr>
          <w:p>
            <w:pPr>
              <w:spacing w:after="20"/>
            </w:pPr>
            <w:r/>
            <w:r>
              <w:rPr>
                <w:rFonts w:ascii="Yu Gothic" w:hAnsi="Yu Gothic" w:eastAsia="Yu Gothic"/>
                <w:b w:val="0"/>
                <w:sz w:val="16"/>
              </w:rPr>
              <w:t>② 行動仮説を立てる</w:t>
            </w:r>
          </w:p>
        </w:tc>
        <w:tc>
          <w:tcPr>
            <w:tcW w:type="dxa" w:w="3408"/>
            <w:vAlign w:val="center"/>
            <w:shd w:fill="F7F9FB"/>
          </w:tcPr>
          <w:p>
            <w:pPr>
              <w:spacing w:after="20"/>
            </w:pPr>
            <w:r/>
            <w:r>
              <w:rPr>
                <w:rFonts w:ascii="Yu Gothic" w:hAnsi="Yu Gothic" w:eastAsia="Yu Gothic"/>
                <w:b w:val="0"/>
                <w:sz w:val="16"/>
              </w:rPr>
              <w:t>その特性が高い人に、どんな行動傾向があり得るか</w:t>
            </w:r>
          </w:p>
        </w:tc>
        <w:tc>
          <w:tcPr>
            <w:tcW w:type="dxa" w:w="3408"/>
            <w:vAlign w:val="center"/>
            <w:shd w:fill="F7F9FB"/>
          </w:tcPr>
          <w:p>
            <w:pPr>
              <w:spacing w:after="20"/>
            </w:pPr>
            <w:r/>
            <w:r>
              <w:rPr>
                <w:rFonts w:ascii="Yu Gothic" w:hAnsi="Yu Gothic" w:eastAsia="Yu Gothic"/>
                <w:b w:val="0"/>
                <w:sz w:val="16"/>
              </w:rPr>
              <w:t>測定仮説</w:t>
            </w:r>
          </w:p>
        </w:tc>
      </w:tr>
      <w:tr>
        <w:tc>
          <w:tcPr>
            <w:tcW w:type="dxa" w:w="3408"/>
            <w:vAlign w:val="center"/>
          </w:tcPr>
          <w:p>
            <w:pPr>
              <w:spacing w:after="20"/>
            </w:pPr>
            <w:r/>
            <w:r>
              <w:rPr>
                <w:rFonts w:ascii="Yu Gothic" w:hAnsi="Yu Gothic" w:eastAsia="Yu Gothic"/>
                <w:b w:val="0"/>
                <w:sz w:val="16"/>
              </w:rPr>
              <w:t>③ 状況を選ぶ</w:t>
            </w:r>
          </w:p>
        </w:tc>
        <w:tc>
          <w:tcPr>
            <w:tcW w:type="dxa" w:w="3408"/>
            <w:vAlign w:val="center"/>
          </w:tcPr>
          <w:p>
            <w:pPr>
              <w:spacing w:after="20"/>
            </w:pPr>
            <w:r/>
            <w:r>
              <w:rPr>
                <w:rFonts w:ascii="Yu Gothic" w:hAnsi="Yu Gothic" w:eastAsia="Yu Gothic"/>
                <w:b w:val="0"/>
                <w:sz w:val="16"/>
              </w:rPr>
              <w:t>その傾向が表れそうな、ゲームとして自然な場面</w:t>
            </w:r>
          </w:p>
        </w:tc>
        <w:tc>
          <w:tcPr>
            <w:tcW w:type="dxa" w:w="3408"/>
            <w:vAlign w:val="center"/>
          </w:tcPr>
          <w:p>
            <w:pPr>
              <w:spacing w:after="20"/>
            </w:pPr>
            <w:r/>
            <w:r>
              <w:rPr>
                <w:rFonts w:ascii="Yu Gothic" w:hAnsi="Yu Gothic" w:eastAsia="Yu Gothic"/>
                <w:b w:val="0"/>
                <w:sz w:val="16"/>
              </w:rPr>
              <w:t>イベント案</w:t>
            </w:r>
          </w:p>
        </w:tc>
      </w:tr>
      <w:tr>
        <w:tc>
          <w:tcPr>
            <w:tcW w:type="dxa" w:w="3408"/>
            <w:vAlign w:val="center"/>
            <w:shd w:fill="F7F9FB"/>
          </w:tcPr>
          <w:p>
            <w:pPr>
              <w:spacing w:after="20"/>
            </w:pPr>
            <w:r/>
            <w:r>
              <w:rPr>
                <w:rFonts w:ascii="Yu Gothic" w:hAnsi="Yu Gothic" w:eastAsia="Yu Gothic"/>
                <w:b w:val="0"/>
                <w:sz w:val="16"/>
              </w:rPr>
              <w:t>④ 二択を作る</w:t>
            </w:r>
          </w:p>
        </w:tc>
        <w:tc>
          <w:tcPr>
            <w:tcW w:type="dxa" w:w="3408"/>
            <w:vAlign w:val="center"/>
            <w:shd w:fill="F7F9FB"/>
          </w:tcPr>
          <w:p>
            <w:pPr>
              <w:spacing w:after="20"/>
            </w:pPr>
            <w:r/>
            <w:r>
              <w:rPr>
                <w:rFonts w:ascii="Yu Gothic" w:hAnsi="Yu Gothic" w:eastAsia="Yu Gothic"/>
                <w:b w:val="0"/>
                <w:sz w:val="16"/>
              </w:rPr>
              <w:t>両方に合理性があり、善悪・勇気・賢さの差にならない選択肢</w:t>
            </w:r>
          </w:p>
        </w:tc>
        <w:tc>
          <w:tcPr>
            <w:tcW w:type="dxa" w:w="3408"/>
            <w:vAlign w:val="center"/>
            <w:shd w:fill="F7F9FB"/>
          </w:tcPr>
          <w:p>
            <w:pPr>
              <w:spacing w:after="20"/>
            </w:pPr>
            <w:r/>
            <w:r>
              <w:rPr>
                <w:rFonts w:ascii="Yu Gothic" w:hAnsi="Yu Gothic" w:eastAsia="Yu Gothic"/>
                <w:b w:val="0"/>
                <w:sz w:val="16"/>
              </w:rPr>
              <w:t>A/B選択肢</w:t>
            </w:r>
          </w:p>
        </w:tc>
      </w:tr>
      <w:tr>
        <w:tc>
          <w:tcPr>
            <w:tcW w:type="dxa" w:w="3408"/>
            <w:vAlign w:val="center"/>
          </w:tcPr>
          <w:p>
            <w:pPr>
              <w:spacing w:after="20"/>
            </w:pPr>
            <w:r/>
            <w:r>
              <w:rPr>
                <w:rFonts w:ascii="Yu Gothic" w:hAnsi="Yu Gothic" w:eastAsia="Yu Gothic"/>
                <w:b w:val="0"/>
                <w:sz w:val="16"/>
              </w:rPr>
              <w:t>⑤ 採点仮説を定義</w:t>
            </w:r>
          </w:p>
        </w:tc>
        <w:tc>
          <w:tcPr>
            <w:tcW w:type="dxa" w:w="3408"/>
            <w:vAlign w:val="center"/>
          </w:tcPr>
          <w:p>
            <w:pPr>
              <w:spacing w:after="20"/>
            </w:pPr>
            <w:r/>
            <w:r>
              <w:rPr>
                <w:rFonts w:ascii="Yu Gothic" w:hAnsi="Yu Gothic" w:eastAsia="Yu Gothic"/>
                <w:b w:val="0"/>
                <w:sz w:val="16"/>
              </w:rPr>
              <w:t>どの選択がどの特性に、どの程度の情報を与えるか</w:t>
            </w:r>
          </w:p>
        </w:tc>
        <w:tc>
          <w:tcPr>
            <w:tcW w:type="dxa" w:w="3408"/>
            <w:vAlign w:val="center"/>
          </w:tcPr>
          <w:p>
            <w:pPr>
              <w:spacing w:after="20"/>
            </w:pPr>
            <w:r/>
            <w:r>
              <w:rPr>
                <w:rFonts w:ascii="Yu Gothic" w:hAnsi="Yu Gothic" w:eastAsia="Yu Gothic"/>
                <w:b w:val="0"/>
                <w:sz w:val="16"/>
              </w:rPr>
              <w:t>採点仕様</w:t>
            </w:r>
          </w:p>
        </w:tc>
      </w:tr>
      <w:tr>
        <w:tc>
          <w:tcPr>
            <w:tcW w:type="dxa" w:w="3408"/>
            <w:vAlign w:val="center"/>
            <w:shd w:fill="F7F9FB"/>
          </w:tcPr>
          <w:p>
            <w:pPr>
              <w:spacing w:after="20"/>
            </w:pPr>
            <w:r/>
            <w:r>
              <w:rPr>
                <w:rFonts w:ascii="Yu Gothic" w:hAnsi="Yu Gothic" w:eastAsia="Yu Gothic"/>
                <w:b w:val="0"/>
                <w:sz w:val="16"/>
              </w:rPr>
              <w:t>⑥ 予備調査</w:t>
            </w:r>
          </w:p>
        </w:tc>
        <w:tc>
          <w:tcPr>
            <w:tcW w:type="dxa" w:w="3408"/>
            <w:vAlign w:val="center"/>
            <w:shd w:fill="F7F9FB"/>
          </w:tcPr>
          <w:p>
            <w:pPr>
              <w:spacing w:after="20"/>
            </w:pPr>
            <w:r/>
            <w:r>
              <w:rPr>
                <w:rFonts w:ascii="Yu Gothic" w:hAnsi="Yu Gothic" w:eastAsia="Yu Gothic"/>
                <w:b w:val="0"/>
                <w:sz w:val="16"/>
              </w:rPr>
              <w:t>選択理由の聞き取り、回答分布、尺度との関連</w:t>
            </w:r>
          </w:p>
        </w:tc>
        <w:tc>
          <w:tcPr>
            <w:tcW w:type="dxa" w:w="3408"/>
            <w:vAlign w:val="center"/>
            <w:shd w:fill="F7F9FB"/>
          </w:tcPr>
          <w:p>
            <w:pPr>
              <w:spacing w:after="20"/>
            </w:pPr>
            <w:r/>
            <w:r>
              <w:rPr>
                <w:rFonts w:ascii="Yu Gothic" w:hAnsi="Yu Gothic" w:eastAsia="Yu Gothic"/>
                <w:b w:val="0"/>
                <w:sz w:val="16"/>
              </w:rPr>
              <w:t>修正・除外判断</w:t>
            </w:r>
          </w:p>
        </w:tc>
      </w:tr>
    </w:tbl>
    <w:p>
      <w:pPr>
        <w:spacing w:after="20"/>
      </w:pPr>
    </w:p>
    <w:p>
      <w:r>
        <w:t>設計原則：各選択肢を「良い／悪い」「賢い／愚か」「勇敢／臆病」にしない。両方の選択に妥当な理由を持たせ、ゲーム攻略上の有利さが回答を支配しないようにする。</w:t>
      </w:r>
    </w:p>
    <w:p>
      <w:pPr>
        <w:pStyle w:val="Heading1"/>
      </w:pPr>
      <w:r>
        <w:t>4. イベント設計の初期案</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CE7F0"/>
          </w:tcPr>
          <w:p>
            <w:pPr>
              <w:spacing w:after="20"/>
            </w:pPr>
            <w:r/>
            <w:r>
              <w:rPr>
                <w:rFonts w:ascii="Yu Gothic" w:hAnsi="Yu Gothic" w:eastAsia="Yu Gothic"/>
                <w:b/>
                <w:sz w:val="17"/>
              </w:rPr>
              <w:t>場面</w:t>
            </w:r>
          </w:p>
        </w:tc>
        <w:tc>
          <w:tcPr>
            <w:tcW w:type="dxa" w:w="2556"/>
            <w:vAlign w:val="center"/>
            <w:shd w:fill="DCE7F0"/>
          </w:tcPr>
          <w:p>
            <w:pPr>
              <w:spacing w:after="20"/>
            </w:pPr>
            <w:r/>
            <w:r>
              <w:rPr>
                <w:rFonts w:ascii="Yu Gothic" w:hAnsi="Yu Gothic" w:eastAsia="Yu Gothic"/>
                <w:b/>
                <w:sz w:val="17"/>
              </w:rPr>
              <w:t>二択案</w:t>
            </w:r>
          </w:p>
        </w:tc>
        <w:tc>
          <w:tcPr>
            <w:tcW w:type="dxa" w:w="2556"/>
            <w:vAlign w:val="center"/>
            <w:shd w:fill="DCE7F0"/>
          </w:tcPr>
          <w:p>
            <w:pPr>
              <w:spacing w:after="20"/>
            </w:pPr>
            <w:r/>
            <w:r>
              <w:rPr>
                <w:rFonts w:ascii="Yu Gothic" w:hAnsi="Yu Gothic" w:eastAsia="Yu Gothic"/>
                <w:b/>
                <w:sz w:val="17"/>
              </w:rPr>
              <w:t>主な測定仮説</w:t>
            </w:r>
          </w:p>
        </w:tc>
        <w:tc>
          <w:tcPr>
            <w:tcW w:type="dxa" w:w="2556"/>
            <w:vAlign w:val="center"/>
            <w:shd w:fill="DCE7F0"/>
          </w:tcPr>
          <w:p>
            <w:pPr>
              <w:spacing w:after="20"/>
            </w:pPr>
            <w:r/>
            <w:r>
              <w:rPr>
                <w:rFonts w:ascii="Yu Gothic" w:hAnsi="Yu Gothic" w:eastAsia="Yu Gothic"/>
                <w:b/>
                <w:sz w:val="17"/>
              </w:rPr>
              <w:t>交絡・注意点</w:t>
            </w:r>
          </w:p>
        </w:tc>
      </w:tr>
      <w:tr>
        <w:tc>
          <w:tcPr>
            <w:tcW w:type="dxa" w:w="2556"/>
            <w:vAlign w:val="center"/>
          </w:tcPr>
          <w:p>
            <w:pPr>
              <w:spacing w:after="20"/>
            </w:pPr>
            <w:r/>
            <w:r>
              <w:rPr>
                <w:rFonts w:ascii="Yu Gothic" w:hAnsi="Yu Gothic" w:eastAsia="Yu Gothic"/>
                <w:b w:val="0"/>
                <w:sz w:val="16"/>
              </w:rPr>
              <w:t>未知の魔法装置</w:t>
            </w:r>
          </w:p>
        </w:tc>
        <w:tc>
          <w:tcPr>
            <w:tcW w:type="dxa" w:w="2556"/>
            <w:vAlign w:val="center"/>
          </w:tcPr>
          <w:p>
            <w:pPr>
              <w:spacing w:after="20"/>
            </w:pPr>
            <w:r/>
            <w:r>
              <w:rPr>
                <w:rFonts w:ascii="Yu Gothic" w:hAnsi="Yu Gothic" w:eastAsia="Yu Gothic"/>
                <w:b w:val="0"/>
                <w:sz w:val="16"/>
              </w:rPr>
              <w:t>A：仕組みを調べる／B：機能を確認して先へ進む</w:t>
            </w:r>
          </w:p>
        </w:tc>
        <w:tc>
          <w:tcPr>
            <w:tcW w:type="dxa" w:w="2556"/>
            <w:vAlign w:val="center"/>
          </w:tcPr>
          <w:p>
            <w:pPr>
              <w:spacing w:after="20"/>
            </w:pPr>
            <w:r/>
            <w:r>
              <w:rPr>
                <w:rFonts w:ascii="Yu Gothic" w:hAnsi="Yu Gothic" w:eastAsia="Yu Gothic"/>
                <w:b w:val="0"/>
                <w:sz w:val="16"/>
              </w:rPr>
              <w:t>知的好奇心・未知への関心</w:t>
            </w:r>
          </w:p>
        </w:tc>
        <w:tc>
          <w:tcPr>
            <w:tcW w:type="dxa" w:w="2556"/>
            <w:vAlign w:val="center"/>
          </w:tcPr>
          <w:p>
            <w:pPr>
              <w:spacing w:after="20"/>
            </w:pPr>
            <w:r/>
            <w:r>
              <w:rPr>
                <w:rFonts w:ascii="Yu Gothic" w:hAnsi="Yu Gothic" w:eastAsia="Yu Gothic"/>
                <w:b w:val="0"/>
                <w:sz w:val="16"/>
              </w:rPr>
              <w:t>調査がゲーム上有利なら、性格より攻略知識を測る</w:t>
            </w:r>
          </w:p>
        </w:tc>
      </w:tr>
      <w:tr>
        <w:tc>
          <w:tcPr>
            <w:tcW w:type="dxa" w:w="2556"/>
            <w:vAlign w:val="center"/>
            <w:shd w:fill="F7F9FB"/>
          </w:tcPr>
          <w:p>
            <w:pPr>
              <w:spacing w:after="20"/>
            </w:pPr>
            <w:r/>
            <w:r>
              <w:rPr>
                <w:rFonts w:ascii="Yu Gothic" w:hAnsi="Yu Gothic" w:eastAsia="Yu Gothic"/>
                <w:b w:val="0"/>
                <w:sz w:val="16"/>
              </w:rPr>
              <w:t>探索前の休憩</w:t>
            </w:r>
          </w:p>
        </w:tc>
        <w:tc>
          <w:tcPr>
            <w:tcW w:type="dxa" w:w="2556"/>
            <w:vAlign w:val="center"/>
            <w:shd w:fill="F7F9FB"/>
          </w:tcPr>
          <w:p>
            <w:pPr>
              <w:spacing w:after="20"/>
            </w:pPr>
            <w:r/>
            <w:r>
              <w:rPr>
                <w:rFonts w:ascii="Yu Gothic" w:hAnsi="Yu Gothic" w:eastAsia="Yu Gothic"/>
                <w:b w:val="0"/>
                <w:sz w:val="16"/>
              </w:rPr>
              <w:t>A：物資と装備を点検／B：勢いを保って探索を続ける</w:t>
            </w:r>
          </w:p>
        </w:tc>
        <w:tc>
          <w:tcPr>
            <w:tcW w:type="dxa" w:w="2556"/>
            <w:vAlign w:val="center"/>
            <w:shd w:fill="F7F9FB"/>
          </w:tcPr>
          <w:p>
            <w:pPr>
              <w:spacing w:after="20"/>
            </w:pPr>
            <w:r/>
            <w:r>
              <w:rPr>
                <w:rFonts w:ascii="Yu Gothic" w:hAnsi="Yu Gothic" w:eastAsia="Yu Gothic"/>
                <w:b w:val="0"/>
                <w:sz w:val="16"/>
              </w:rPr>
              <w:t>整理性・計画性</w:t>
            </w:r>
          </w:p>
        </w:tc>
        <w:tc>
          <w:tcPr>
            <w:tcW w:type="dxa" w:w="2556"/>
            <w:vAlign w:val="center"/>
            <w:shd w:fill="F7F9FB"/>
          </w:tcPr>
          <w:p>
            <w:pPr>
              <w:spacing w:after="20"/>
            </w:pPr>
            <w:r/>
            <w:r>
              <w:rPr>
                <w:rFonts w:ascii="Yu Gothic" w:hAnsi="Yu Gothic" w:eastAsia="Yu Gothic"/>
                <w:b w:val="0"/>
                <w:sz w:val="16"/>
              </w:rPr>
              <w:t>残りHPや時間など、ゲーム状態の影響を除く</w:t>
            </w:r>
          </w:p>
        </w:tc>
      </w:tr>
      <w:tr>
        <w:tc>
          <w:tcPr>
            <w:tcW w:type="dxa" w:w="2556"/>
            <w:vAlign w:val="center"/>
          </w:tcPr>
          <w:p>
            <w:pPr>
              <w:spacing w:after="20"/>
            </w:pPr>
            <w:r/>
            <w:r>
              <w:rPr>
                <w:rFonts w:ascii="Yu Gothic" w:hAnsi="Yu Gothic" w:eastAsia="Yu Gothic"/>
                <w:b w:val="0"/>
                <w:sz w:val="16"/>
              </w:rPr>
              <w:t>仲間の失敗</w:t>
            </w:r>
          </w:p>
        </w:tc>
        <w:tc>
          <w:tcPr>
            <w:tcW w:type="dxa" w:w="2556"/>
            <w:vAlign w:val="center"/>
          </w:tcPr>
          <w:p>
            <w:pPr>
              <w:spacing w:after="20"/>
            </w:pPr>
            <w:r/>
            <w:r>
              <w:rPr>
                <w:rFonts w:ascii="Yu Gothic" w:hAnsi="Yu Gothic" w:eastAsia="Yu Gothic"/>
                <w:b w:val="0"/>
                <w:sz w:val="16"/>
              </w:rPr>
              <w:t>A：気持ちや事情を聞いて立て直す／B：原因を分析し再発防止を考える</w:t>
            </w:r>
          </w:p>
        </w:tc>
        <w:tc>
          <w:tcPr>
            <w:tcW w:type="dxa" w:w="2556"/>
            <w:vAlign w:val="center"/>
          </w:tcPr>
          <w:p>
            <w:pPr>
              <w:spacing w:after="20"/>
            </w:pPr>
            <w:r/>
            <w:r>
              <w:rPr>
                <w:rFonts w:ascii="Yu Gothic" w:hAnsi="Yu Gothic" w:eastAsia="Yu Gothic"/>
                <w:b w:val="0"/>
                <w:sz w:val="16"/>
              </w:rPr>
              <w:t>思いやりと問題解決の優先</w:t>
            </w:r>
          </w:p>
        </w:tc>
        <w:tc>
          <w:tcPr>
            <w:tcW w:type="dxa" w:w="2556"/>
            <w:vAlign w:val="center"/>
          </w:tcPr>
          <w:p>
            <w:pPr>
              <w:spacing w:after="20"/>
            </w:pPr>
            <w:r/>
            <w:r>
              <w:rPr>
                <w:rFonts w:ascii="Yu Gothic" w:hAnsi="Yu Gothic" w:eastAsia="Yu Gothic"/>
                <w:b w:val="0"/>
                <w:sz w:val="16"/>
              </w:rPr>
              <w:t>Bも配慮ある行動。協調性の低さと断定しない</w:t>
            </w:r>
          </w:p>
        </w:tc>
      </w:tr>
      <w:tr>
        <w:tc>
          <w:tcPr>
            <w:tcW w:type="dxa" w:w="2556"/>
            <w:vAlign w:val="center"/>
            <w:shd w:fill="F7F9FB"/>
          </w:tcPr>
          <w:p>
            <w:pPr>
              <w:spacing w:after="20"/>
            </w:pPr>
            <w:r/>
            <w:r>
              <w:rPr>
                <w:rFonts w:ascii="Yu Gothic" w:hAnsi="Yu Gothic" w:eastAsia="Yu Gothic"/>
                <w:b w:val="0"/>
                <w:sz w:val="16"/>
              </w:rPr>
              <w:t>休憩所の冒険者</w:t>
            </w:r>
          </w:p>
        </w:tc>
        <w:tc>
          <w:tcPr>
            <w:tcW w:type="dxa" w:w="2556"/>
            <w:vAlign w:val="center"/>
            <w:shd w:fill="F7F9FB"/>
          </w:tcPr>
          <w:p>
            <w:pPr>
              <w:spacing w:after="20"/>
            </w:pPr>
            <w:r/>
            <w:r>
              <w:rPr>
                <w:rFonts w:ascii="Yu Gothic" w:hAnsi="Yu Gothic" w:eastAsia="Yu Gothic"/>
                <w:b w:val="0"/>
                <w:sz w:val="16"/>
              </w:rPr>
              <w:t>A：自分から話しかける／B：周囲の会話を聞いてから関わる</w:t>
            </w:r>
          </w:p>
        </w:tc>
        <w:tc>
          <w:tcPr>
            <w:tcW w:type="dxa" w:w="2556"/>
            <w:vAlign w:val="center"/>
            <w:shd w:fill="F7F9FB"/>
          </w:tcPr>
          <w:p>
            <w:pPr>
              <w:spacing w:after="20"/>
            </w:pPr>
            <w:r/>
            <w:r>
              <w:rPr>
                <w:rFonts w:ascii="Yu Gothic" w:hAnsi="Yu Gothic" w:eastAsia="Yu Gothic"/>
                <w:b w:val="0"/>
                <w:sz w:val="16"/>
              </w:rPr>
              <w:t>社交性・対人接近</w:t>
            </w:r>
          </w:p>
        </w:tc>
        <w:tc>
          <w:tcPr>
            <w:tcW w:type="dxa" w:w="2556"/>
            <w:vAlign w:val="center"/>
            <w:shd w:fill="F7F9FB"/>
          </w:tcPr>
          <w:p>
            <w:pPr>
              <w:spacing w:after="20"/>
            </w:pPr>
            <w:r/>
            <w:r>
              <w:rPr>
                <w:rFonts w:ascii="Yu Gothic" w:hAnsi="Yu Gothic" w:eastAsia="Yu Gothic"/>
                <w:b w:val="0"/>
                <w:sz w:val="16"/>
              </w:rPr>
              <w:t>Bは慎重さや状況判断でも説明できる</w:t>
            </w:r>
          </w:p>
        </w:tc>
      </w:tr>
      <w:tr>
        <w:tc>
          <w:tcPr>
            <w:tcW w:type="dxa" w:w="2556"/>
            <w:vAlign w:val="center"/>
          </w:tcPr>
          <w:p>
            <w:pPr>
              <w:spacing w:after="20"/>
            </w:pPr>
            <w:r/>
            <w:r>
              <w:rPr>
                <w:rFonts w:ascii="Yu Gothic" w:hAnsi="Yu Gothic" w:eastAsia="Yu Gothic"/>
                <w:b w:val="0"/>
                <w:sz w:val="16"/>
              </w:rPr>
              <w:t>不穏な物音</w:t>
            </w:r>
          </w:p>
        </w:tc>
        <w:tc>
          <w:tcPr>
            <w:tcW w:type="dxa" w:w="2556"/>
            <w:vAlign w:val="center"/>
          </w:tcPr>
          <w:p>
            <w:pPr>
              <w:spacing w:after="20"/>
            </w:pPr>
            <w:r/>
            <w:r>
              <w:rPr>
                <w:rFonts w:ascii="Yu Gothic" w:hAnsi="Yu Gothic" w:eastAsia="Yu Gothic"/>
                <w:b w:val="0"/>
                <w:sz w:val="16"/>
              </w:rPr>
              <w:t>A：周囲を確認してから進む／B：必要な準備を整えて進む</w:t>
            </w:r>
          </w:p>
        </w:tc>
        <w:tc>
          <w:tcPr>
            <w:tcW w:type="dxa" w:w="2556"/>
            <w:vAlign w:val="center"/>
          </w:tcPr>
          <w:p>
            <w:pPr>
              <w:spacing w:after="20"/>
            </w:pPr>
            <w:r/>
            <w:r>
              <w:rPr>
                <w:rFonts w:ascii="Yu Gothic" w:hAnsi="Yu Gothic" w:eastAsia="Yu Gothic"/>
                <w:b w:val="0"/>
                <w:sz w:val="16"/>
              </w:rPr>
              <w:t>危険への反応・不確実性への対処</w:t>
            </w:r>
          </w:p>
        </w:tc>
        <w:tc>
          <w:tcPr>
            <w:tcW w:type="dxa" w:w="2556"/>
            <w:vAlign w:val="center"/>
          </w:tcPr>
          <w:p>
            <w:pPr>
              <w:spacing w:after="20"/>
            </w:pPr>
            <w:r/>
            <w:r>
              <w:rPr>
                <w:rFonts w:ascii="Yu Gothic" w:hAnsi="Yu Gothic" w:eastAsia="Yu Gothic"/>
                <w:b w:val="0"/>
                <w:sz w:val="16"/>
              </w:rPr>
              <w:t>ネガティブ感情性の測定としては弱い。別の項目が必要</w:t>
            </w:r>
          </w:p>
        </w:tc>
      </w:tr>
      <w:tr>
        <w:tc>
          <w:tcPr>
            <w:tcW w:type="dxa" w:w="2556"/>
            <w:vAlign w:val="center"/>
            <w:shd w:fill="F7F9FB"/>
          </w:tcPr>
          <w:p>
            <w:pPr>
              <w:spacing w:after="20"/>
            </w:pPr>
            <w:r/>
            <w:r>
              <w:rPr>
                <w:rFonts w:ascii="Yu Gothic" w:hAnsi="Yu Gothic" w:eastAsia="Yu Gothic"/>
                <w:b w:val="0"/>
                <w:sz w:val="16"/>
              </w:rPr>
              <w:t>分岐する道</w:t>
            </w:r>
          </w:p>
        </w:tc>
        <w:tc>
          <w:tcPr>
            <w:tcW w:type="dxa" w:w="2556"/>
            <w:vAlign w:val="center"/>
            <w:shd w:fill="F7F9FB"/>
          </w:tcPr>
          <w:p>
            <w:pPr>
              <w:spacing w:after="20"/>
            </w:pPr>
            <w:r/>
            <w:r>
              <w:rPr>
                <w:rFonts w:ascii="Yu Gothic" w:hAnsi="Yu Gothic" w:eastAsia="Yu Gothic"/>
                <w:b w:val="0"/>
                <w:sz w:val="16"/>
              </w:rPr>
              <w:t>A：既知の安全な道／B：未知だが近道かもしれない道</w:t>
            </w:r>
          </w:p>
        </w:tc>
        <w:tc>
          <w:tcPr>
            <w:tcW w:type="dxa" w:w="2556"/>
            <w:vAlign w:val="center"/>
            <w:shd w:fill="F7F9FB"/>
          </w:tcPr>
          <w:p>
            <w:pPr>
              <w:spacing w:after="20"/>
            </w:pPr>
            <w:r/>
            <w:r>
              <w:rPr>
                <w:rFonts w:ascii="Yu Gothic" w:hAnsi="Yu Gothic" w:eastAsia="Yu Gothic"/>
                <w:b w:val="0"/>
                <w:sz w:val="16"/>
              </w:rPr>
              <w:t>新奇性への関心・リスク選好</w:t>
            </w:r>
          </w:p>
        </w:tc>
        <w:tc>
          <w:tcPr>
            <w:tcW w:type="dxa" w:w="2556"/>
            <w:vAlign w:val="center"/>
            <w:shd w:fill="F7F9FB"/>
          </w:tcPr>
          <w:p>
            <w:pPr>
              <w:spacing w:after="20"/>
            </w:pPr>
            <w:r/>
            <w:r>
              <w:rPr>
                <w:rFonts w:ascii="Yu Gothic" w:hAnsi="Yu Gothic" w:eastAsia="Yu Gothic"/>
                <w:b w:val="0"/>
                <w:sz w:val="16"/>
              </w:rPr>
              <w:t>開放性とリスク選好を混同しない</w:t>
            </w:r>
          </w:p>
        </w:tc>
      </w:tr>
    </w:tbl>
    <w:p>
      <w:pPr>
        <w:spacing w:after="20"/>
      </w:pPr>
    </w:p>
    <w:p>
      <w:r>
        <w:t>上記は仕様検討のための仮説案。採点への採用前に、各選択肢の意図が参加者にどう解釈されるかを認知インタビュー等で確認する。</w:t>
      </w:r>
    </w:p>
    <w:p>
      <w:pPr>
        <w:pStyle w:val="Heading1"/>
      </w:pPr>
      <w:r>
        <w:t>5. キャラクター分類の作り方</w:t>
      </w:r>
    </w:p>
    <w:p>
      <w:r>
        <w:t>ライト診断では4〜6種類程度のキャラクターを表示する案が考えられる。ただし、キャラクタータイプはBig Fiveから自動的に一意に決まるものではなく、プロダクト上の説明用ラベルである。</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CE7F0"/>
          </w:tcPr>
          <w:p>
            <w:pPr>
              <w:spacing w:after="20"/>
            </w:pPr>
            <w:r/>
            <w:r>
              <w:rPr>
                <w:rFonts w:ascii="Yu Gothic" w:hAnsi="Yu Gothic" w:eastAsia="Yu Gothic"/>
                <w:b/>
                <w:sz w:val="17"/>
              </w:rPr>
              <w:t>表示タイプ案</w:t>
            </w:r>
          </w:p>
        </w:tc>
        <w:tc>
          <w:tcPr>
            <w:tcW w:type="dxa" w:w="3408"/>
            <w:vAlign w:val="center"/>
            <w:shd w:fill="DCE7F0"/>
          </w:tcPr>
          <w:p>
            <w:pPr>
              <w:spacing w:after="20"/>
            </w:pPr>
            <w:r/>
            <w:r>
              <w:rPr>
                <w:rFonts w:ascii="Yu Gothic" w:hAnsi="Yu Gothic" w:eastAsia="Yu Gothic"/>
                <w:b/>
                <w:sz w:val="17"/>
              </w:rPr>
              <w:t>表現したい傾向（仮説）</w:t>
            </w:r>
          </w:p>
        </w:tc>
        <w:tc>
          <w:tcPr>
            <w:tcW w:type="dxa" w:w="3408"/>
            <w:vAlign w:val="center"/>
            <w:shd w:fill="DCE7F0"/>
          </w:tcPr>
          <w:p>
            <w:pPr>
              <w:spacing w:after="20"/>
            </w:pPr>
            <w:r/>
            <w:r>
              <w:rPr>
                <w:rFonts w:ascii="Yu Gothic" w:hAnsi="Yu Gothic" w:eastAsia="Yu Gothic"/>
                <w:b/>
                <w:sz w:val="17"/>
              </w:rPr>
              <w:t>設計上の注意</w:t>
            </w:r>
          </w:p>
        </w:tc>
      </w:tr>
      <w:tr>
        <w:tc>
          <w:tcPr>
            <w:tcW w:type="dxa" w:w="3408"/>
            <w:vAlign w:val="center"/>
          </w:tcPr>
          <w:p>
            <w:pPr>
              <w:spacing w:after="20"/>
            </w:pPr>
            <w:r/>
            <w:r>
              <w:rPr>
                <w:rFonts w:ascii="Yu Gothic" w:hAnsi="Yu Gothic" w:eastAsia="Yu Gothic"/>
                <w:b w:val="0"/>
                <w:sz w:val="16"/>
              </w:rPr>
              <w:t>探究者</w:t>
            </w:r>
          </w:p>
        </w:tc>
        <w:tc>
          <w:tcPr>
            <w:tcW w:type="dxa" w:w="3408"/>
            <w:vAlign w:val="center"/>
          </w:tcPr>
          <w:p>
            <w:pPr>
              <w:spacing w:after="20"/>
            </w:pPr>
            <w:r/>
            <w:r>
              <w:rPr>
                <w:rFonts w:ascii="Yu Gothic" w:hAnsi="Yu Gothic" w:eastAsia="Yu Gothic"/>
                <w:b w:val="0"/>
                <w:sz w:val="16"/>
              </w:rPr>
              <w:t>未知への関心、知的好奇心</w:t>
            </w:r>
          </w:p>
        </w:tc>
        <w:tc>
          <w:tcPr>
            <w:tcW w:type="dxa" w:w="3408"/>
            <w:vAlign w:val="center"/>
          </w:tcPr>
          <w:p>
            <w:pPr>
              <w:spacing w:after="20"/>
            </w:pPr>
            <w:r/>
            <w:r>
              <w:rPr>
                <w:rFonts w:ascii="Yu Gothic" w:hAnsi="Yu Gothic" w:eastAsia="Yu Gothic"/>
                <w:b w:val="0"/>
                <w:sz w:val="16"/>
              </w:rPr>
              <w:t>開放性の全てを代表するとは限らない</w:t>
            </w:r>
          </w:p>
        </w:tc>
      </w:tr>
      <w:tr>
        <w:tc>
          <w:tcPr>
            <w:tcW w:type="dxa" w:w="3408"/>
            <w:vAlign w:val="center"/>
            <w:shd w:fill="F7F9FB"/>
          </w:tcPr>
          <w:p>
            <w:pPr>
              <w:spacing w:after="20"/>
            </w:pPr>
            <w:r/>
            <w:r>
              <w:rPr>
                <w:rFonts w:ascii="Yu Gothic" w:hAnsi="Yu Gothic" w:eastAsia="Yu Gothic"/>
                <w:b w:val="0"/>
                <w:sz w:val="16"/>
              </w:rPr>
              <w:t>戦略家</w:t>
            </w:r>
          </w:p>
        </w:tc>
        <w:tc>
          <w:tcPr>
            <w:tcW w:type="dxa" w:w="3408"/>
            <w:vAlign w:val="center"/>
            <w:shd w:fill="F7F9FB"/>
          </w:tcPr>
          <w:p>
            <w:pPr>
              <w:spacing w:after="20"/>
            </w:pPr>
            <w:r/>
            <w:r>
              <w:rPr>
                <w:rFonts w:ascii="Yu Gothic" w:hAnsi="Yu Gothic" w:eastAsia="Yu Gothic"/>
                <w:b w:val="0"/>
                <w:sz w:val="16"/>
              </w:rPr>
              <w:t>整理・計画・責任感</w:t>
            </w:r>
          </w:p>
        </w:tc>
        <w:tc>
          <w:tcPr>
            <w:tcW w:type="dxa" w:w="3408"/>
            <w:vAlign w:val="center"/>
            <w:shd w:fill="F7F9FB"/>
          </w:tcPr>
          <w:p>
            <w:pPr>
              <w:spacing w:after="20"/>
            </w:pPr>
            <w:r/>
            <w:r>
              <w:rPr>
                <w:rFonts w:ascii="Yu Gothic" w:hAnsi="Yu Gothic" w:eastAsia="Yu Gothic"/>
                <w:b w:val="0"/>
                <w:sz w:val="16"/>
              </w:rPr>
              <w:t>誠実性と知的好奇心を混ぜすぎない</w:t>
            </w:r>
          </w:p>
        </w:tc>
      </w:tr>
      <w:tr>
        <w:tc>
          <w:tcPr>
            <w:tcW w:type="dxa" w:w="3408"/>
            <w:vAlign w:val="center"/>
          </w:tcPr>
          <w:p>
            <w:pPr>
              <w:spacing w:after="20"/>
            </w:pPr>
            <w:r/>
            <w:r>
              <w:rPr>
                <w:rFonts w:ascii="Yu Gothic" w:hAnsi="Yu Gothic" w:eastAsia="Yu Gothic"/>
                <w:b w:val="0"/>
                <w:sz w:val="16"/>
              </w:rPr>
              <w:t>守護者</w:t>
            </w:r>
          </w:p>
        </w:tc>
        <w:tc>
          <w:tcPr>
            <w:tcW w:type="dxa" w:w="3408"/>
            <w:vAlign w:val="center"/>
          </w:tcPr>
          <w:p>
            <w:pPr>
              <w:spacing w:after="20"/>
            </w:pPr>
            <w:r/>
            <w:r>
              <w:rPr>
                <w:rFonts w:ascii="Yu Gothic" w:hAnsi="Yu Gothic" w:eastAsia="Yu Gothic"/>
                <w:b w:val="0"/>
                <w:sz w:val="16"/>
              </w:rPr>
              <w:t>思いやり、協力、他者への配慮</w:t>
            </w:r>
          </w:p>
        </w:tc>
        <w:tc>
          <w:tcPr>
            <w:tcW w:type="dxa" w:w="3408"/>
            <w:vAlign w:val="center"/>
          </w:tcPr>
          <w:p>
            <w:pPr>
              <w:spacing w:after="20"/>
            </w:pPr>
            <w:r/>
            <w:r>
              <w:rPr>
                <w:rFonts w:ascii="Yu Gothic" w:hAnsi="Yu Gothic" w:eastAsia="Yu Gothic"/>
                <w:b w:val="0"/>
                <w:sz w:val="16"/>
              </w:rPr>
              <w:t>協調性を従順さと同一視しない</w:t>
            </w:r>
          </w:p>
        </w:tc>
      </w:tr>
      <w:tr>
        <w:tc>
          <w:tcPr>
            <w:tcW w:type="dxa" w:w="3408"/>
            <w:vAlign w:val="center"/>
            <w:shd w:fill="F7F9FB"/>
          </w:tcPr>
          <w:p>
            <w:pPr>
              <w:spacing w:after="20"/>
            </w:pPr>
            <w:r/>
            <w:r>
              <w:rPr>
                <w:rFonts w:ascii="Yu Gothic" w:hAnsi="Yu Gothic" w:eastAsia="Yu Gothic"/>
                <w:b w:val="0"/>
                <w:sz w:val="16"/>
              </w:rPr>
              <w:t>開拓者</w:t>
            </w:r>
          </w:p>
        </w:tc>
        <w:tc>
          <w:tcPr>
            <w:tcW w:type="dxa" w:w="3408"/>
            <w:vAlign w:val="center"/>
            <w:shd w:fill="F7F9FB"/>
          </w:tcPr>
          <w:p>
            <w:pPr>
              <w:spacing w:after="20"/>
            </w:pPr>
            <w:r/>
            <w:r>
              <w:rPr>
                <w:rFonts w:ascii="Yu Gothic" w:hAnsi="Yu Gothic" w:eastAsia="Yu Gothic"/>
                <w:b w:val="0"/>
                <w:sz w:val="16"/>
              </w:rPr>
              <w:t>主導性、行動への積極性</w:t>
            </w:r>
          </w:p>
        </w:tc>
        <w:tc>
          <w:tcPr>
            <w:tcW w:type="dxa" w:w="3408"/>
            <w:vAlign w:val="center"/>
            <w:shd w:fill="F7F9FB"/>
          </w:tcPr>
          <w:p>
            <w:pPr>
              <w:spacing w:after="20"/>
            </w:pPr>
            <w:r/>
            <w:r>
              <w:rPr>
                <w:rFonts w:ascii="Yu Gothic" w:hAnsi="Yu Gothic" w:eastAsia="Yu Gothic"/>
                <w:b w:val="0"/>
                <w:sz w:val="16"/>
              </w:rPr>
              <w:t>外向性とリスク選好を区別する</w:t>
            </w:r>
          </w:p>
        </w:tc>
      </w:tr>
      <w:tr>
        <w:tc>
          <w:tcPr>
            <w:tcW w:type="dxa" w:w="3408"/>
            <w:vAlign w:val="center"/>
          </w:tcPr>
          <w:p>
            <w:pPr>
              <w:spacing w:after="20"/>
            </w:pPr>
            <w:r/>
            <w:r>
              <w:rPr>
                <w:rFonts w:ascii="Yu Gothic" w:hAnsi="Yu Gothic" w:eastAsia="Yu Gothic"/>
                <w:b w:val="0"/>
                <w:sz w:val="16"/>
              </w:rPr>
              <w:t>観察者</w:t>
            </w:r>
          </w:p>
        </w:tc>
        <w:tc>
          <w:tcPr>
            <w:tcW w:type="dxa" w:w="3408"/>
            <w:vAlign w:val="center"/>
          </w:tcPr>
          <w:p>
            <w:pPr>
              <w:spacing w:after="20"/>
            </w:pPr>
            <w:r/>
            <w:r>
              <w:rPr>
                <w:rFonts w:ascii="Yu Gothic" w:hAnsi="Yu Gothic" w:eastAsia="Yu Gothic"/>
                <w:b w:val="0"/>
                <w:sz w:val="16"/>
              </w:rPr>
              <w:t>慎重な観察、情報収集</w:t>
            </w:r>
          </w:p>
        </w:tc>
        <w:tc>
          <w:tcPr>
            <w:tcW w:type="dxa" w:w="3408"/>
            <w:vAlign w:val="center"/>
          </w:tcPr>
          <w:p>
            <w:pPr>
              <w:spacing w:after="20"/>
            </w:pPr>
            <w:r/>
            <w:r>
              <w:rPr>
                <w:rFonts w:ascii="Yu Gothic" w:hAnsi="Yu Gothic" w:eastAsia="Yu Gothic"/>
                <w:b w:val="0"/>
                <w:sz w:val="16"/>
              </w:rPr>
              <w:t>内向性や不安傾向と短絡的に結びつけない</w:t>
            </w:r>
          </w:p>
        </w:tc>
      </w:tr>
    </w:tbl>
    <w:p>
      <w:pPr>
        <w:spacing w:after="20"/>
      </w:pPr>
    </w:p>
    <w:p>
      <w:r>
        <w:t>推奨：結果画面ではキャラクター名だけでなく、複数の特性傾向を簡単なプロフィールとして表示する。4〜6イベントだけで信頼性の高い5因子全てを測れるとは想定しない。ライト結果は「冒険スタイル」、詳細結果は「性格特性プロフィール」と呼び分ける。</w:t>
      </w:r>
    </w:p>
    <w:p>
      <w:pPr>
        <w:pStyle w:val="Heading1"/>
      </w:pPr>
      <w:r>
        <w:t>6. 検証計画</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CE7F0"/>
          </w:tcPr>
          <w:p>
            <w:pPr>
              <w:spacing w:after="20"/>
            </w:pPr>
            <w:r/>
            <w:r>
              <w:rPr>
                <w:rFonts w:ascii="Yu Gothic" w:hAnsi="Yu Gothic" w:eastAsia="Yu Gothic"/>
                <w:b/>
                <w:sz w:val="17"/>
              </w:rPr>
              <w:t>段階</w:t>
            </w:r>
          </w:p>
        </w:tc>
        <w:tc>
          <w:tcPr>
            <w:tcW w:type="dxa" w:w="3408"/>
            <w:vAlign w:val="center"/>
            <w:shd w:fill="DCE7F0"/>
          </w:tcPr>
          <w:p>
            <w:pPr>
              <w:spacing w:after="20"/>
            </w:pPr>
            <w:r/>
            <w:r>
              <w:rPr>
                <w:rFonts w:ascii="Yu Gothic" w:hAnsi="Yu Gothic" w:eastAsia="Yu Gothic"/>
                <w:b/>
                <w:sz w:val="17"/>
              </w:rPr>
              <w:t>方法</w:t>
            </w:r>
          </w:p>
        </w:tc>
        <w:tc>
          <w:tcPr>
            <w:tcW w:type="dxa" w:w="3408"/>
            <w:vAlign w:val="center"/>
            <w:shd w:fill="DCE7F0"/>
          </w:tcPr>
          <w:p>
            <w:pPr>
              <w:spacing w:after="20"/>
            </w:pPr>
            <w:r/>
            <w:r>
              <w:rPr>
                <w:rFonts w:ascii="Yu Gothic" w:hAnsi="Yu Gothic" w:eastAsia="Yu Gothic"/>
                <w:b/>
                <w:sz w:val="17"/>
              </w:rPr>
              <w:t>確認する内容</w:t>
            </w:r>
          </w:p>
        </w:tc>
      </w:tr>
      <w:tr>
        <w:tc>
          <w:tcPr>
            <w:tcW w:type="dxa" w:w="3408"/>
            <w:vAlign w:val="center"/>
          </w:tcPr>
          <w:p>
            <w:pPr>
              <w:spacing w:after="20"/>
            </w:pPr>
            <w:r/>
            <w:r>
              <w:rPr>
                <w:rFonts w:ascii="Yu Gothic" w:hAnsi="Yu Gothic" w:eastAsia="Yu Gothic"/>
                <w:b w:val="0"/>
                <w:sz w:val="16"/>
              </w:rPr>
              <w:t>プロトタイプ</w:t>
            </w:r>
          </w:p>
        </w:tc>
        <w:tc>
          <w:tcPr>
            <w:tcW w:type="dxa" w:w="3408"/>
            <w:vAlign w:val="center"/>
          </w:tcPr>
          <w:p>
            <w:pPr>
              <w:spacing w:after="20"/>
            </w:pPr>
            <w:r/>
            <w:r>
              <w:rPr>
                <w:rFonts w:ascii="Yu Gothic" w:hAnsi="Yu Gothic" w:eastAsia="Yu Gothic"/>
                <w:b w:val="0"/>
                <w:sz w:val="16"/>
              </w:rPr>
              <w:t>少人数にプレイしてもらい、各選択の理由を聞く</w:t>
            </w:r>
          </w:p>
        </w:tc>
        <w:tc>
          <w:tcPr>
            <w:tcW w:type="dxa" w:w="3408"/>
            <w:vAlign w:val="center"/>
          </w:tcPr>
          <w:p>
            <w:pPr>
              <w:spacing w:after="20"/>
            </w:pPr>
            <w:r/>
            <w:r>
              <w:rPr>
                <w:rFonts w:ascii="Yu Gothic" w:hAnsi="Yu Gothic" w:eastAsia="Yu Gothic"/>
                <w:b w:val="0"/>
                <w:sz w:val="16"/>
              </w:rPr>
              <w:t>選択肢の理解、善悪・攻略有利の偏り、ストーリーの自然さ</w:t>
            </w:r>
          </w:p>
        </w:tc>
      </w:tr>
      <w:tr>
        <w:tc>
          <w:tcPr>
            <w:tcW w:type="dxa" w:w="3408"/>
            <w:vAlign w:val="center"/>
            <w:shd w:fill="F7F9FB"/>
          </w:tcPr>
          <w:p>
            <w:pPr>
              <w:spacing w:after="20"/>
            </w:pPr>
            <w:r/>
            <w:r>
              <w:rPr>
                <w:rFonts w:ascii="Yu Gothic" w:hAnsi="Yu Gothic" w:eastAsia="Yu Gothic"/>
                <w:b w:val="0"/>
                <w:sz w:val="16"/>
              </w:rPr>
              <w:t>予備調査</w:t>
            </w:r>
          </w:p>
        </w:tc>
        <w:tc>
          <w:tcPr>
            <w:tcW w:type="dxa" w:w="3408"/>
            <w:vAlign w:val="center"/>
            <w:shd w:fill="F7F9FB"/>
          </w:tcPr>
          <w:p>
            <w:pPr>
              <w:spacing w:after="20"/>
            </w:pPr>
            <w:r/>
            <w:r>
              <w:rPr>
                <w:rFonts w:ascii="Yu Gothic" w:hAnsi="Yu Gothic" w:eastAsia="Yu Gothic"/>
                <w:b w:val="0"/>
                <w:sz w:val="16"/>
              </w:rPr>
              <w:t>ライト診断と既存の検証済み尺度を同じ参加者に実施</w:t>
            </w:r>
          </w:p>
        </w:tc>
        <w:tc>
          <w:tcPr>
            <w:tcW w:type="dxa" w:w="3408"/>
            <w:vAlign w:val="center"/>
            <w:shd w:fill="F7F9FB"/>
          </w:tcPr>
          <w:p>
            <w:pPr>
              <w:spacing w:after="20"/>
            </w:pPr>
            <w:r/>
            <w:r>
              <w:rPr>
                <w:rFonts w:ascii="Yu Gothic" w:hAnsi="Yu Gothic" w:eastAsia="Yu Gothic"/>
                <w:b w:val="0"/>
                <w:sz w:val="16"/>
              </w:rPr>
              <w:t>各イベント選択と特性得点の関連、回答分布</w:t>
            </w:r>
          </w:p>
        </w:tc>
      </w:tr>
      <w:tr>
        <w:tc>
          <w:tcPr>
            <w:tcW w:type="dxa" w:w="3408"/>
            <w:vAlign w:val="center"/>
          </w:tcPr>
          <w:p>
            <w:pPr>
              <w:spacing w:after="20"/>
            </w:pPr>
            <w:r/>
            <w:r>
              <w:rPr>
                <w:rFonts w:ascii="Yu Gothic" w:hAnsi="Yu Gothic" w:eastAsia="Yu Gothic"/>
                <w:b w:val="0"/>
                <w:sz w:val="16"/>
              </w:rPr>
              <w:t>項目改善</w:t>
            </w:r>
          </w:p>
        </w:tc>
        <w:tc>
          <w:tcPr>
            <w:tcW w:type="dxa" w:w="3408"/>
            <w:vAlign w:val="center"/>
          </w:tcPr>
          <w:p>
            <w:pPr>
              <w:spacing w:after="20"/>
            </w:pPr>
            <w:r/>
            <w:r>
              <w:rPr>
                <w:rFonts w:ascii="Yu Gothic" w:hAnsi="Yu Gothic" w:eastAsia="Yu Gothic"/>
                <w:b w:val="0"/>
                <w:sz w:val="16"/>
              </w:rPr>
              <w:t>回答の偏りや解釈のずれが大きいイベントを修正・削除</w:t>
            </w:r>
          </w:p>
        </w:tc>
        <w:tc>
          <w:tcPr>
            <w:tcW w:type="dxa" w:w="3408"/>
            <w:vAlign w:val="center"/>
          </w:tcPr>
          <w:p>
            <w:pPr>
              <w:spacing w:after="20"/>
            </w:pPr>
            <w:r/>
            <w:r>
              <w:rPr>
                <w:rFonts w:ascii="Yu Gothic" w:hAnsi="Yu Gothic" w:eastAsia="Yu Gothic"/>
                <w:b w:val="0"/>
                <w:sz w:val="16"/>
              </w:rPr>
              <w:t>項目ごとの有用性、特性のカバー範囲</w:t>
            </w:r>
          </w:p>
        </w:tc>
      </w:tr>
      <w:tr>
        <w:tc>
          <w:tcPr>
            <w:tcW w:type="dxa" w:w="3408"/>
            <w:vAlign w:val="center"/>
            <w:shd w:fill="F7F9FB"/>
          </w:tcPr>
          <w:p>
            <w:pPr>
              <w:spacing w:after="20"/>
            </w:pPr>
            <w:r/>
            <w:r>
              <w:rPr>
                <w:rFonts w:ascii="Yu Gothic" w:hAnsi="Yu Gothic" w:eastAsia="Yu Gothic"/>
                <w:b w:val="0"/>
                <w:sz w:val="16"/>
              </w:rPr>
              <w:t>再検証</w:t>
            </w:r>
          </w:p>
        </w:tc>
        <w:tc>
          <w:tcPr>
            <w:tcW w:type="dxa" w:w="3408"/>
            <w:vAlign w:val="center"/>
            <w:shd w:fill="F7F9FB"/>
          </w:tcPr>
          <w:p>
            <w:pPr>
              <w:spacing w:after="20"/>
            </w:pPr>
            <w:r/>
            <w:r>
              <w:rPr>
                <w:rFonts w:ascii="Yu Gothic" w:hAnsi="Yu Gothic" w:eastAsia="Yu Gothic"/>
                <w:b w:val="0"/>
                <w:sz w:val="16"/>
              </w:rPr>
              <w:t>十分なサンプルで再調査・再テスト</w:t>
            </w:r>
          </w:p>
        </w:tc>
        <w:tc>
          <w:tcPr>
            <w:tcW w:type="dxa" w:w="3408"/>
            <w:vAlign w:val="center"/>
            <w:shd w:fill="F7F9FB"/>
          </w:tcPr>
          <w:p>
            <w:pPr>
              <w:spacing w:after="20"/>
            </w:pPr>
            <w:r/>
            <w:r>
              <w:rPr>
                <w:rFonts w:ascii="Yu Gothic" w:hAnsi="Yu Gothic" w:eastAsia="Yu Gothic"/>
                <w:b w:val="0"/>
                <w:sz w:val="16"/>
              </w:rPr>
              <w:t>信頼性、再現性、妥当性</w:t>
            </w:r>
          </w:p>
        </w:tc>
      </w:tr>
    </w:tbl>
    <w:p>
      <w:pPr>
        <w:spacing w:after="20"/>
      </w:pPr>
    </w:p>
    <w:p>
      <w:r>
        <w:t>分析候補：各選択と基準尺度得点の関連、因子ごとの項目カバレッジ、再テスト信頼性、年齢・性別などの群による項目の偏り。サンプルサイズは、検出したい効果や分析計画に基づき事前に設計する。</w:t>
      </w:r>
    </w:p>
    <w:p>
      <w:pPr>
        <w:pStyle w:val="Heading1"/>
      </w:pPr>
      <w:r>
        <w:t>7. 推奨するMVP</w:t>
      </w:r>
    </w:p>
    <w:p>
      <w:pPr>
        <w:pStyle w:val="ListBullet"/>
        <w:spacing w:after="40"/>
      </w:pPr>
      <w:r>
        <w:t>世界観：異世界転生した主人公がダンジョンを探索する短編ストーリー。</w:t>
      </w:r>
    </w:p>
    <w:p>
      <w:pPr>
        <w:pStyle w:val="ListBullet"/>
        <w:spacing w:after="40"/>
      </w:pPr>
      <w:r>
        <w:t>ライト診断：5〜7イベント、各2択。目標プレイ時間は約1分。ただし特性測定の精度は未検証と明示する。</w:t>
      </w:r>
    </w:p>
    <w:p>
      <w:pPr>
        <w:pStyle w:val="ListBullet"/>
        <w:spacing w:after="40"/>
      </w:pPr>
      <w:r>
        <w:t>初期タイプ：4種類程度のキャラクター。分類名はユーザー向け表現として扱う。</w:t>
      </w:r>
    </w:p>
    <w:p>
      <w:pPr>
        <w:pStyle w:val="ListBullet"/>
        <w:spacing w:after="40"/>
      </w:pPr>
      <w:r>
        <w:t>データ構造：イベントID、選択肢、測定仮説、関連特性、暫定重み、ゲーム効果、根拠・検証状態を分離してJSON管理。</w:t>
      </w:r>
    </w:p>
    <w:p>
      <w:pPr>
        <w:pStyle w:val="ListBullet"/>
        <w:spacing w:after="40"/>
      </w:pPr>
      <w:r>
        <w:t>詳細診断：追加イベントと、利用条件を確認した既存の検証済み尺度を用いる。</w:t>
      </w:r>
    </w:p>
    <w:p>
      <w:pPr>
        <w:pStyle w:val="ListBullet"/>
        <w:spacing w:after="40"/>
      </w:pPr>
      <w:r>
        <w:t>表示上の注意：医療・臨床診断ではなく、性格傾向を楽しむためのエンターテインメントとして提供する。</w:t>
      </w:r>
    </w:p>
    <w:p>
      <w:pPr>
        <w:pStyle w:val="Heading1"/>
      </w:pPr>
      <w:r>
        <w:t>8. 参考文献</w:t>
      </w:r>
    </w:p>
    <w:p>
      <w:pPr>
        <w:pStyle w:val="ListNumber"/>
        <w:spacing w:after="80"/>
      </w:pPr>
      <w:r>
        <w:t>[1] Yoshino, S. et al. (2022). A validation of the Japanese adaptation of the Big Five Inventory-2. Frontiers in Psychology, 13, 924351. https://doi.org/10.3389/fpsyg.2022.924351</w:t>
      </w:r>
    </w:p>
    <w:p>
      <w:pPr>
        <w:pStyle w:val="ListNumber"/>
        <w:spacing w:after="80"/>
      </w:pPr>
      <w:r>
        <w:t>[2] Soto, C. J., &amp; John, O. P. (2017). The next Big Five Inventory (BFI-2): Developing and assessing a hierarchical model with 15 facets to enhance bandwidth, fidelity, and predictive power. Journal of Personality and Social Psychology, 113(1), 117–143. https://doi.org/10.1037/pspp0000096</w:t>
      </w:r>
    </w:p>
    <w:p>
      <w:pPr>
        <w:pStyle w:val="ListNumber"/>
        <w:spacing w:after="80"/>
      </w:pPr>
      <w:r>
        <w:t>[3] Ashton, M. C., &amp; Lee, K. (2007). Empirical, theoretical, and practical advantages of the HEXACO model of personality structure. Personality and Social Psychology Review, 11(2), 150–166. https://doi.org/10.1177/1088868306294907</w:t>
      </w:r>
    </w:p>
    <w:p>
      <w:pPr>
        <w:pStyle w:val="ListNumber"/>
        <w:spacing w:after="80"/>
      </w:pPr>
      <w:r>
        <w:t>[4] Salgado, J. F. et al. (2015). The validity of ipsative and quasi-ipsative forced-choice personality inventories for different occupational groups: A comprehensive meta-analysis. Journal of Occupational and Organizational Psychology, 88(4), 797–834. https://doi.org/10.1111/joop.12098</w:t>
      </w:r>
    </w:p>
    <w:p>
      <w:pPr>
        <w:pStyle w:val="ListNumber"/>
        <w:spacing w:after="80"/>
      </w:pPr>
      <w:r>
        <w:t>[5] Namikawa, T. et al. (2012). Big Five尺度短縮版の開発と信頼性と妥当性の検討. 心理学研究, 83(2), 91–99. https://doi.org/10.4992/jjpsy.83.91</w:t>
      </w:r>
    </w:p>
    <w:p>
      <w:pPr>
        <w:pStyle w:val="ListNumber"/>
        <w:spacing w:after="80"/>
      </w:pPr>
      <w:r>
        <w:t>[6] Toyomoto, R. et al. (2022). Validation of the Japanese Big Five Scale Short Form in a University Student Sample. Frontiers in Psychology. https://doi.org/10.3389/fpsyg.2022.862646</w:t>
      </w:r>
    </w:p>
    <w:p>
      <w:pPr>
        <w:pStyle w:val="Heading2"/>
      </w:pPr>
      <w:r>
        <w:t>参考資料の読み方</w:t>
      </w:r>
    </w:p>
    <w:p>
      <w:r>
        <w:t>本資料は企画・設計のための研究整理であり、システムの妥当性を保証するものではない。論文の尺度項目をそのまま転載・改変する場合は、利用条件・著作権・ライセンスを各原典で確認する。独自のストーリー選択式にした時点で、独自方式として検証が必要となる。</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8C"/>
        <w:sz w:val="16"/>
      </w:rPr>
      <w:t>異世界ダンジョン型 性格診断 — Research Brief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2A43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395B7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eastAsia="Yu Gothic"/>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