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Bexocargo Shipping Terms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Last Updated: January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Prohibited Shipments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Bexocargo strictly prohibits the shipment of the following: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Illegal or Contraband Items: Drugs, weapons, counterfeit goods, stolen property, or any item violating local or international laws.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Hazardous Materials: Explosives, flammable liquids, toxic substances, or radioactive materials.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Restricted Goods: Perishables (without prior approval), live animals, human remains, cash, or high-value items without declared insurance.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Violation Policy: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Any prohibited shipment will be confiscated and reported to authorities.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sender will be fully liable for legal consequences and fines.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 refunds will be issued for seized or abandoned cargo.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Shipping Rates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 prices are per kilogram (kg) and subject to change based on fuel surcharges or regulatory fees: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Destination</w:t>
        <w:tab/>
        <w:t xml:space="preserve">Rate (USD/kg)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Within Africa</w:t>
        <w:tab/>
        <w:t xml:space="preserve">$15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Europe</w:t>
        <w:tab/>
        <w:t xml:space="preserve">$20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USA</w:t>
        <w:tab/>
        <w:t xml:space="preserve">$25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Asia &amp; Rest of World</w:t>
        <w:tab/>
        <w:t xml:space="preserve">$30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Minimum chargeable weight: 1 kg.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Volumetric weight applies for lightweight, bulky shipments.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Additional fees (customs, taxes, storage) are the sender's responsibility.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Required Documentation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sender must provide: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Commercial Invoice (for customs valuation).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Packing List (itemized contents, weight, and value).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Insurance Proof (for high-value or fragile goods).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Health/Safety Certificates (if applicable, e.g., food, pharmaceuticals).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Export/Import Permits (for restricted items).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Transit Inspections: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Cargo may be unloaded and inspected at transit borders.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documents are missing, the shipment will be delayed until compliance.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Sender bears all costs for storage, demurrage, or return shipments.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Liability &amp; Insurance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Bexocargo's liability is limited to USD 100 per shipment unless additional insurance is purchased.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Senders must declare full value and pay for optional insurance (rate: 2% of declared value).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 claims for damages/losses due to improper packaging or prohibited items.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Delays &amp; Compliance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Delays caused by missing documents, customs checks, or regulatory holds are the sender's responsibility.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Storage fees ($5/day) apply after 48 hours of non-compliance.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Bexocargo may abandon shipments after 14 days of non-resolution.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 shipping inquiries or disputes: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📧 Support: support@bexocargo.com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🌍 Regional Offices: [Country]@bexocargo.com (e.g., nigeria@bexocargo.com)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By using Bexocargo's services, you agree to these Shipping Terms.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Bexocargo – Secure. Compliant. Reliable.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