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875E" w14:textId="3B10F778" w:rsidR="00130036" w:rsidRDefault="00000000">
      <w:pPr>
        <w:pStyle w:val="CSHeading1"/>
      </w:pPr>
      <w:r>
        <w:t xml:space="preserve">A Guide to Callaway &amp; Sant’Anna (2021) </w:t>
      </w:r>
      <w:r w:rsidR="00F4167C">
        <w:t xml:space="preserve">and usage in the Matlab </w:t>
      </w:r>
      <w:r>
        <w:t>DiD</w:t>
      </w:r>
      <w:r w:rsidR="00F4167C">
        <w:t xml:space="preserve"> Toolbox</w:t>
      </w:r>
    </w:p>
    <w:p w14:paraId="742D3212" w14:textId="7AED423C" w:rsidR="00F4167C" w:rsidRPr="00F4167C" w:rsidRDefault="00F4167C" w:rsidP="00F4167C">
      <w:pPr>
        <w:jc w:val="center"/>
      </w:pPr>
      <w:r w:rsidRPr="00F4167C">
        <w:rPr>
          <w:sz w:val="28"/>
          <w:szCs w:val="28"/>
        </w:rPr>
        <w:t>(Overview by ChatGPT 5</w:t>
      </w:r>
      <w:r w:rsidRPr="00F4167C">
        <w:t>)</w:t>
      </w:r>
    </w:p>
    <w:p w14:paraId="6EAC16EF" w14:textId="77777777" w:rsidR="00130036" w:rsidRDefault="00000000">
      <w:pPr>
        <w:pStyle w:val="CSNormal"/>
      </w:pPr>
      <w:r>
        <w:rPr>
          <w:b/>
        </w:rPr>
        <w:t xml:space="preserve">What it estimates. </w:t>
      </w:r>
      <w:r>
        <w:t>In panels where units adopt at different times (or never), Callaway–Sant’Anna (C&amp;S) compute treatment effects for each cohort–time cell, written ATT(g,t): “the average effect at calendar time t for the cohort first treated in g.” This avoids the mixing issues of classic TWFE when effects vary over time or across cohorts.</w:t>
      </w:r>
    </w:p>
    <w:p w14:paraId="5AF8BD58" w14:textId="77777777" w:rsidR="00130036" w:rsidRDefault="00000000">
      <w:pPr>
        <w:pStyle w:val="CSNormal"/>
      </w:pPr>
      <w:r>
        <w:t>From these building blocks, you can aggregate transparently:</w:t>
      </w:r>
    </w:p>
    <w:p w14:paraId="1384AFD0" w14:textId="77777777" w:rsidR="00130036" w:rsidRDefault="00000000">
      <w:pPr>
        <w:pStyle w:val="Aufzhlungszeichen"/>
      </w:pPr>
      <w:r>
        <w:t>Event-time (θ_es): average by time-since-adoption e = t − g (an event-study curve).</w:t>
      </w:r>
    </w:p>
    <w:p w14:paraId="6459860B" w14:textId="77777777" w:rsidR="00130036" w:rsidRDefault="00000000">
      <w:pPr>
        <w:pStyle w:val="Aufzhlungszeichen"/>
      </w:pPr>
      <w:r>
        <w:t>Calendar-time (θ_c): average across cohorts within each calendar period t.</w:t>
      </w:r>
    </w:p>
    <w:p w14:paraId="597838C6" w14:textId="77777777" w:rsidR="00130036" w:rsidRDefault="00000000">
      <w:pPr>
        <w:pStyle w:val="Aufzhlungszeichen"/>
      </w:pPr>
      <w:r>
        <w:t>Cohort averages (θ_sel): average over post periods within a cohort g.</w:t>
      </w:r>
    </w:p>
    <w:p w14:paraId="7426E988" w14:textId="77777777" w:rsidR="00130036" w:rsidRDefault="00000000">
      <w:pPr>
        <w:pStyle w:val="Aufzhlungszeichen"/>
      </w:pPr>
      <w:r>
        <w:t>Overall ATET (θ_overall): a single, weighted average across all post cells.</w:t>
      </w:r>
    </w:p>
    <w:p w14:paraId="13D9EBF0" w14:textId="77777777" w:rsidR="00130036" w:rsidRDefault="00000000">
      <w:pPr>
        <w:pStyle w:val="CSHeading1"/>
      </w:pPr>
      <w:r>
        <w:t>1) Choosing the control group</w:t>
      </w:r>
    </w:p>
    <w:p w14:paraId="2A3D0E76" w14:textId="77777777" w:rsidR="00130036" w:rsidRDefault="00000000">
      <w:pPr>
        <w:pStyle w:val="CSNormal"/>
      </w:pPr>
      <w:r>
        <w:rPr>
          <w:b/>
        </w:rPr>
        <w:t xml:space="preserve">Comparison = "never" (never-treated controls). </w:t>
      </w:r>
      <w:r>
        <w:t>Only units never treated serve as controls.</w:t>
      </w:r>
      <w:r>
        <w:br/>
        <w:t>Pros: clean interpretation; closest to classic DiD.</w:t>
      </w:r>
      <w:r>
        <w:br/>
        <w:t>Cons: wasteful if few never-treated; impossible if everyone is treated eventually.</w:t>
      </w:r>
    </w:p>
    <w:p w14:paraId="03608828" w14:textId="77777777" w:rsidR="00130036" w:rsidRDefault="00000000">
      <w:pPr>
        <w:pStyle w:val="CSNormal"/>
      </w:pPr>
      <w:r>
        <w:rPr>
          <w:b/>
        </w:rPr>
        <w:t xml:space="preserve">Comparison = "notyet" (not-yet-treated controls). </w:t>
      </w:r>
      <w:r>
        <w:t>At time t, controls are units treated later than t.</w:t>
      </w:r>
      <w:r>
        <w:br/>
        <w:t>Pros: uses more data; works when everyone is eventually treated.</w:t>
      </w:r>
      <w:r>
        <w:br/>
        <w:t>Cons: relies on a stronger “no anticipation” condition.</w:t>
      </w:r>
    </w:p>
    <w:p w14:paraId="29541E5B" w14:textId="77777777" w:rsidR="00130036" w:rsidRDefault="00000000">
      <w:pPr>
        <w:pStyle w:val="CSHeading1"/>
      </w:pPr>
      <w:r>
        <w:t>2) Allowing for anticipation with Δ</w:t>
      </w:r>
    </w:p>
    <w:p w14:paraId="1B1D48E6" w14:textId="77777777" w:rsidR="00130036" w:rsidRDefault="00000000">
      <w:pPr>
        <w:pStyle w:val="CSNormal"/>
      </w:pPr>
      <w:r>
        <w:t>Outcomes can move before formal adoption. Set Delta = δ ≥ 0 to exclude the δ periods before adoption from the pre-treatment baseline. The baseline becomes r = g − δ − 1 (instead of g − 1). Small δ (e.g., 1) protects against mild anticipation; larger δ trades precision for robustness.</w:t>
      </w:r>
    </w:p>
    <w:p w14:paraId="4D82701A" w14:textId="77777777" w:rsidR="00130036" w:rsidRDefault="00000000">
      <w:pPr>
        <w:pStyle w:val="CSHeading1"/>
      </w:pPr>
      <w:r>
        <w:t>3) Four estimation approaches (how we build the counterfactual)</w:t>
      </w:r>
    </w:p>
    <w:p w14:paraId="20137967" w14:textId="77777777" w:rsidR="00130036" w:rsidRDefault="00000000">
      <w:pPr>
        <w:pStyle w:val="CSNormal"/>
      </w:pPr>
      <w:r>
        <w:rPr>
          <w:b/>
        </w:rPr>
        <w:t xml:space="preserve">Approach = "unconditional" (simple DiD on changes). </w:t>
      </w:r>
      <w:r>
        <w:t>Compare treated vs controls without covariates on long differences.</w:t>
      </w:r>
      <w:r>
        <w:br/>
        <w:t>Use when unconditional parallel trends is plausible.</w:t>
      </w:r>
    </w:p>
    <w:p w14:paraId="262523BC" w14:textId="77777777" w:rsidR="00130036" w:rsidRDefault="00000000">
      <w:pPr>
        <w:pStyle w:val="CSNormal"/>
      </w:pPr>
      <w:r>
        <w:rPr>
          <w:b/>
        </w:rPr>
        <w:lastRenderedPageBreak/>
        <w:t xml:space="preserve">Approach = "or" (Outcome Regression). </w:t>
      </w:r>
      <w:r>
        <w:t>On controls, regress the change in outcomes on X; predict treated counterfactuals; subtract.</w:t>
      </w:r>
      <w:r>
        <w:br/>
        <w:t>Assumption: the outcome model for controls is well specified (conditional parallel trends).</w:t>
      </w:r>
    </w:p>
    <w:p w14:paraId="79D8A96D" w14:textId="77777777" w:rsidR="00130036" w:rsidRDefault="00000000">
      <w:pPr>
        <w:pStyle w:val="CSNormal"/>
      </w:pPr>
      <w:r>
        <w:rPr>
          <w:b/>
        </w:rPr>
        <w:t xml:space="preserve">Approach = "ipw" (Inverse Probability Weighting). </w:t>
      </w:r>
      <w:r>
        <w:t>Estimate propensity Pr(G=g | X); reweight controls to match treated covariates; compare mean changes.</w:t>
      </w:r>
      <w:r>
        <w:br/>
        <w:t>Assumption: correct propensity model and overlap (treated-like controls exist).</w:t>
      </w:r>
    </w:p>
    <w:p w14:paraId="07E8BB67" w14:textId="77777777" w:rsidR="00130036" w:rsidRDefault="00000000">
      <w:pPr>
        <w:pStyle w:val="CSNormal"/>
      </w:pPr>
      <w:r>
        <w:rPr>
          <w:b/>
        </w:rPr>
        <w:t xml:space="preserve">Approach = "dr" (Doubly Robust). </w:t>
      </w:r>
      <w:r>
        <w:t>Combine OR and IPW: adjust treated by an outcome model and weight control residuals by propensities.</w:t>
      </w:r>
      <w:r>
        <w:br/>
        <w:t>Benefit: consistent if either the outcome or the propensity model is correct.</w:t>
      </w:r>
    </w:p>
    <w:p w14:paraId="066A1B30" w14:textId="77777777" w:rsidR="00130036" w:rsidRDefault="00000000">
      <w:pPr>
        <w:pStyle w:val="CSNormal"/>
      </w:pPr>
      <w:r>
        <w:rPr>
          <w:b/>
        </w:rPr>
        <w:t xml:space="preserve">Rule of thumb: </w:t>
      </w:r>
      <w:r>
        <w:t>If you have credible covariates, use Approach="dr"; otherwise start with "unconditional" and consider a small Delta.</w:t>
      </w:r>
    </w:p>
    <w:p w14:paraId="2FA1BFD4" w14:textId="77777777" w:rsidR="00130036" w:rsidRDefault="00000000">
      <w:pPr>
        <w:pStyle w:val="CSHeading1"/>
      </w:pPr>
      <w:r>
        <w:t>4) Aggregations you’ll read</w:t>
      </w:r>
    </w:p>
    <w:p w14:paraId="6B48F51D" w14:textId="77777777" w:rsidR="00130036" w:rsidRDefault="00000000">
      <w:pPr>
        <w:pStyle w:val="Aufzhlungszeichen"/>
      </w:pPr>
      <w:r>
        <w:t>Event-time (θ_es): averages by e = t − g. Pre-period (leads) check parallel trends; post (lags) trace dynamics.</w:t>
      </w:r>
    </w:p>
    <w:p w14:paraId="68F05637" w14:textId="77777777" w:rsidR="00130036" w:rsidRDefault="00000000">
      <w:pPr>
        <w:pStyle w:val="Aufzhlungszeichen"/>
      </w:pPr>
      <w:r>
        <w:t>Calendar-time (θ_c): averages across cohorts within each calendar period t—useful for macro “when” questions.</w:t>
      </w:r>
    </w:p>
    <w:p w14:paraId="67285F69" w14:textId="77777777" w:rsidR="00130036" w:rsidRDefault="00000000">
      <w:pPr>
        <w:pStyle w:val="Aufzhlungszeichen"/>
      </w:pPr>
      <w:r>
        <w:t>By cohort (θ_sel): average effect for cohort g across its post periods.</w:t>
      </w:r>
    </w:p>
    <w:p w14:paraId="12E11A69" w14:textId="77777777" w:rsidR="00130036" w:rsidRDefault="00000000">
      <w:pPr>
        <w:pStyle w:val="Aufzhlungszeichen"/>
      </w:pPr>
      <w:r>
        <w:t>Overall (θ_overall): one ATET; typically cohort-share weights are used.</w:t>
      </w:r>
    </w:p>
    <w:p w14:paraId="60BEEAC3" w14:textId="77777777" w:rsidR="00130036" w:rsidRDefault="00000000">
      <w:pPr>
        <w:pStyle w:val="CSNormal"/>
      </w:pPr>
      <w:r>
        <w:t>Make sure you compare like with like (event-time vs calendar-time can differ substantially).</w:t>
      </w:r>
    </w:p>
    <w:p w14:paraId="174112A9" w14:textId="77777777" w:rsidR="00130036" w:rsidRDefault="00000000">
      <w:pPr>
        <w:pStyle w:val="CSHeading1"/>
      </w:pPr>
      <w:r>
        <w:t>5) Inference (SEs &amp; bands)</w:t>
      </w:r>
    </w:p>
    <w:p w14:paraId="36758C60" w14:textId="77777777" w:rsidR="00130036" w:rsidRDefault="00000000">
      <w:pPr>
        <w:pStyle w:val="CSNormal"/>
      </w:pPr>
      <w:r>
        <w:rPr>
          <w:b/>
        </w:rPr>
        <w:t xml:space="preserve">Multiplier (wild) bootstrap — SEMethod="multiplier". </w:t>
      </w:r>
      <w:r>
        <w:t>Perturb per-unit influence contributions with random weights to get draws for ATT(g,t) and aggregates.</w:t>
      </w:r>
      <w:r>
        <w:br/>
        <w:t>Pros: fast; delivers simultaneous max‑t bands; robust to heteroskedasticity.</w:t>
      </w:r>
      <w:r>
        <w:br/>
        <w:t>Use when: you want bands for event-study plots or lack a natural cluster beyond units.</w:t>
      </w:r>
      <w:r>
        <w:br/>
        <w:t>Caveat: needs enough independent units; dominance by a few units can distort.</w:t>
      </w:r>
    </w:p>
    <w:p w14:paraId="56971471" w14:textId="77777777" w:rsidR="00130036" w:rsidRDefault="00000000">
      <w:pPr>
        <w:pStyle w:val="CSNormal"/>
      </w:pPr>
      <w:r>
        <w:rPr>
          <w:b/>
        </w:rPr>
        <w:t xml:space="preserve">Clustered SEs (one-way) — SEMethod="clustered". </w:t>
      </w:r>
      <w:r>
        <w:t>Treat each unit as a cluster and form cluster-robust variance (CRV1).</w:t>
      </w:r>
      <w:r>
        <w:br/>
        <w:t>Pros: matches Stata’s cluster(id); robust to serial correlation within unit.</w:t>
      </w:r>
      <w:r>
        <w:br/>
        <w:t>Use when: dependence is mainly within units; you need pointwise SE/t/p for tables.</w:t>
      </w:r>
      <w:r>
        <w:br/>
        <w:t>Caveat: with few clusters (e.g., &lt; 50) SEs can be biased; be cautious with p‑values.</w:t>
      </w:r>
    </w:p>
    <w:p w14:paraId="7CF81D85" w14:textId="77777777" w:rsidR="00130036" w:rsidRDefault="00000000">
      <w:pPr>
        <w:pStyle w:val="CSNormal"/>
      </w:pPr>
      <w:r>
        <w:rPr>
          <w:b/>
        </w:rPr>
        <w:t xml:space="preserve">Two-way clustered SEs — SEMethod="clustered2". </w:t>
      </w:r>
      <w:r>
        <w:t>Cameron–Gelbach–Miller: Var(unit) + Var(second cluster) − Var(intersection).</w:t>
      </w:r>
      <w:r>
        <w:br/>
        <w:t>Pros: helpful when there are shocks along a unit‑constant dimension (industry/region).</w:t>
      </w:r>
      <w:r>
        <w:br/>
      </w:r>
      <w:r>
        <w:lastRenderedPageBreak/>
        <w:t>Note: with per‑unit influence functions, the second cluster must be unit‑constant; true unit×time clustering needs observation‑level IFs.</w:t>
      </w:r>
    </w:p>
    <w:p w14:paraId="55917BCA" w14:textId="77777777" w:rsidR="00130036" w:rsidRDefault="00000000">
      <w:pPr>
        <w:pStyle w:val="CSNormal"/>
      </w:pPr>
      <w:r>
        <w:rPr>
          <w:b/>
        </w:rPr>
        <w:t xml:space="preserve">Bands vs SEs: </w:t>
      </w:r>
      <w:r>
        <w:t>Multiplier → simultaneous bands for plots; Clustered → pointwise SEs (for bands under clustering, bootstrap clusters).</w:t>
      </w:r>
    </w:p>
    <w:p w14:paraId="4946D39E" w14:textId="77777777" w:rsidR="00130036" w:rsidRDefault="00000000">
      <w:pPr>
        <w:pStyle w:val="CSHeading1"/>
      </w:pPr>
      <w:r>
        <w:t>6) Assumptions checklist (informal)</w:t>
      </w:r>
    </w:p>
    <w:p w14:paraId="3D312911" w14:textId="77777777" w:rsidR="00130036" w:rsidRDefault="00000000">
      <w:pPr>
        <w:pStyle w:val="Aufzhlungszeichen"/>
      </w:pPr>
      <w:r>
        <w:t>Parallel trends (unconditional or conditional on X, matching your approach).</w:t>
      </w:r>
    </w:p>
    <w:p w14:paraId="220154C2" w14:textId="77777777" w:rsidR="00130036" w:rsidRDefault="00000000">
      <w:pPr>
        <w:pStyle w:val="Aufzhlungszeichen"/>
      </w:pPr>
      <w:r>
        <w:t>No anticipation (with Delta = δ, no effects before g − δ).</w:t>
      </w:r>
    </w:p>
    <w:p w14:paraId="281D5950" w14:textId="77777777" w:rsidR="00130036" w:rsidRDefault="00000000">
      <w:pPr>
        <w:pStyle w:val="Aufzhlungszeichen"/>
      </w:pPr>
      <w:r>
        <w:t>Overlap for IPW/DR (treated-like controls exist in X‑space).</w:t>
      </w:r>
    </w:p>
    <w:p w14:paraId="08F82CCE" w14:textId="77777777" w:rsidR="00130036" w:rsidRDefault="00000000">
      <w:pPr>
        <w:pStyle w:val="Aufzhlungszeichen"/>
      </w:pPr>
      <w:r>
        <w:t>Sufficient independent units/clusters for inference.</w:t>
      </w:r>
    </w:p>
    <w:p w14:paraId="33DB8D0A" w14:textId="77777777" w:rsidR="00130036" w:rsidRDefault="00000000">
      <w:pPr>
        <w:pStyle w:val="Aufzhlungszeichen"/>
      </w:pPr>
      <w:r>
        <w:t>Reasonable cell sizes (avoid tiny or empty ATT(g,t) cells driving results).</w:t>
      </w:r>
    </w:p>
    <w:p w14:paraId="08BE86F0" w14:textId="77777777" w:rsidR="00130036" w:rsidRDefault="00000000">
      <w:pPr>
        <w:pStyle w:val="CSHeading1"/>
      </w:pPr>
      <w:r>
        <w:t>7) Practical defaults</w:t>
      </w:r>
    </w:p>
    <w:p w14:paraId="104B518C" w14:textId="77777777" w:rsidR="00130036" w:rsidRDefault="00000000">
      <w:pPr>
        <w:pStyle w:val="Aufzhlungszeichen"/>
      </w:pPr>
      <w:r>
        <w:t>Baseline: Comparison="notyet", Delta ∈ {0,1}, Approach="unconditional", with SEMethod="clustered" (tables) or "multiplier" (bands).</w:t>
      </w:r>
    </w:p>
    <w:p w14:paraId="34842FB7" w14:textId="77777777" w:rsidR="00130036" w:rsidRDefault="00000000">
      <w:pPr>
        <w:pStyle w:val="Aufzhlungszeichen"/>
      </w:pPr>
      <w:r>
        <w:t>With covariates: prefer Approach="dr".</w:t>
      </w:r>
    </w:p>
    <w:p w14:paraId="4E2760BD" w14:textId="77777777" w:rsidR="00130036" w:rsidRDefault="00000000">
      <w:pPr>
        <w:pStyle w:val="Aufzhlungszeichen"/>
      </w:pPr>
      <w:r>
        <w:t>Everyone eventually treated: must use Comparison="notyet".</w:t>
      </w:r>
    </w:p>
    <w:p w14:paraId="57B703A8" w14:textId="77777777" w:rsidR="00130036" w:rsidRDefault="00000000">
      <w:pPr>
        <w:pStyle w:val="Aufzhlungszeichen"/>
      </w:pPr>
      <w:r>
        <w:t>Need bands: SEMethod="multiplier", B≈999, Studentize=true.</w:t>
      </w:r>
    </w:p>
    <w:p w14:paraId="23142B6F" w14:textId="77777777" w:rsidR="00130036" w:rsidRDefault="00000000">
      <w:pPr>
        <w:pStyle w:val="Aufzhlungszeichen"/>
      </w:pPr>
      <w:r>
        <w:t>Common shocks by industry/region: SEMethod="clustered2" with a unit‑constant ClusterVar2.</w:t>
      </w:r>
    </w:p>
    <w:p w14:paraId="57D30E46" w14:textId="77777777" w:rsidR="00130036" w:rsidRDefault="00000000">
      <w:pPr>
        <w:pStyle w:val="CSHeading1"/>
      </w:pPr>
      <w:r>
        <w:t>8) Frequent pitfalls</w:t>
      </w:r>
    </w:p>
    <w:p w14:paraId="56D7822C" w14:textId="77777777" w:rsidR="00130036" w:rsidRDefault="00000000">
      <w:pPr>
        <w:pStyle w:val="Aufzhlungszeichen"/>
      </w:pPr>
      <w:r>
        <w:t>Comparing event‑time to calendar‑time aggregates.</w:t>
      </w:r>
    </w:p>
    <w:p w14:paraId="24A9BDA9" w14:textId="77777777" w:rsidR="00130036" w:rsidRDefault="00000000">
      <w:pPr>
        <w:pStyle w:val="Aufzhlungszeichen"/>
      </w:pPr>
      <w:r>
        <w:t>Letting tiny cells dominate; report which cells are used/dropped.</w:t>
      </w:r>
    </w:p>
    <w:p w14:paraId="1EDDB08C" w14:textId="77777777" w:rsidR="00130036" w:rsidRDefault="00000000">
      <w:pPr>
        <w:pStyle w:val="Aufzhlungszeichen"/>
      </w:pPr>
      <w:r>
        <w:t>Few clusters → beware small p‑values; show CIs and the number of clusters.</w:t>
      </w:r>
    </w:p>
    <w:p w14:paraId="39CAAE85" w14:textId="77777777" w:rsidR="00130036" w:rsidRDefault="00000000">
      <w:pPr>
        <w:pStyle w:val="Aufzhlungszeichen"/>
      </w:pPr>
      <w:r>
        <w:t>Ignoring anticipation; set Delta&gt;0 if pre‑trends move.</w:t>
      </w:r>
    </w:p>
    <w:sectPr w:rsidR="00130036" w:rsidSect="00F4167C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E8104" w14:textId="77777777" w:rsidR="007B2674" w:rsidRDefault="007B2674" w:rsidP="00F4167C">
      <w:pPr>
        <w:spacing w:after="0" w:line="240" w:lineRule="auto"/>
      </w:pPr>
      <w:r>
        <w:separator/>
      </w:r>
    </w:p>
  </w:endnote>
  <w:endnote w:type="continuationSeparator" w:id="0">
    <w:p w14:paraId="555AED16" w14:textId="77777777" w:rsidR="007B2674" w:rsidRDefault="007B2674" w:rsidP="00F4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4517127"/>
      <w:docPartObj>
        <w:docPartGallery w:val="Page Numbers (Bottom of Page)"/>
        <w:docPartUnique/>
      </w:docPartObj>
    </w:sdtPr>
    <w:sdtContent>
      <w:p w14:paraId="27E09E2F" w14:textId="334DD3F9" w:rsidR="00F4167C" w:rsidRDefault="00F4167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40DCCDE" w14:textId="77777777" w:rsidR="00F4167C" w:rsidRDefault="00F416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B0197" w14:textId="77777777" w:rsidR="007B2674" w:rsidRDefault="007B2674" w:rsidP="00F4167C">
      <w:pPr>
        <w:spacing w:after="0" w:line="240" w:lineRule="auto"/>
      </w:pPr>
      <w:r>
        <w:separator/>
      </w:r>
    </w:p>
  </w:footnote>
  <w:footnote w:type="continuationSeparator" w:id="0">
    <w:p w14:paraId="71EC13D9" w14:textId="77777777" w:rsidR="007B2674" w:rsidRDefault="007B2674" w:rsidP="00F4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847841">
    <w:abstractNumId w:val="8"/>
  </w:num>
  <w:num w:numId="2" w16cid:durableId="1487672839">
    <w:abstractNumId w:val="6"/>
  </w:num>
  <w:num w:numId="3" w16cid:durableId="159851468">
    <w:abstractNumId w:val="5"/>
  </w:num>
  <w:num w:numId="4" w16cid:durableId="1786532798">
    <w:abstractNumId w:val="4"/>
  </w:num>
  <w:num w:numId="5" w16cid:durableId="158691525">
    <w:abstractNumId w:val="7"/>
  </w:num>
  <w:num w:numId="6" w16cid:durableId="543174916">
    <w:abstractNumId w:val="3"/>
  </w:num>
  <w:num w:numId="7" w16cid:durableId="1994940995">
    <w:abstractNumId w:val="2"/>
  </w:num>
  <w:num w:numId="8" w16cid:durableId="1555123710">
    <w:abstractNumId w:val="1"/>
  </w:num>
  <w:num w:numId="9" w16cid:durableId="192479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036"/>
    <w:rsid w:val="0015074B"/>
    <w:rsid w:val="0029639D"/>
    <w:rsid w:val="00326F90"/>
    <w:rsid w:val="007B2674"/>
    <w:rsid w:val="00AA1D8D"/>
    <w:rsid w:val="00B47730"/>
    <w:rsid w:val="00CB0664"/>
    <w:rsid w:val="00F4167C"/>
    <w:rsid w:val="00F634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E9E49C"/>
  <w14:defaultImageDpi w14:val="300"/>
  <w15:docId w15:val="{2CFDA8A2-C737-4B65-B73D-F5206519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SHeading1">
    <w:name w:val="CS Heading 1"/>
    <w:rPr>
      <w:rFonts w:ascii="Calibri" w:eastAsia="Calibri" w:hAnsi="Calibri"/>
      <w:b/>
      <w:sz w:val="32"/>
    </w:rPr>
  </w:style>
  <w:style w:type="paragraph" w:customStyle="1" w:styleId="CSNormal">
    <w:name w:val="CS Normal"/>
    <w:rPr>
      <w:rFonts w:ascii="Calibri" w:eastAsia="Calibri" w:hAnsi="Calibri"/>
    </w:rPr>
  </w:style>
  <w:style w:type="paragraph" w:customStyle="1" w:styleId="CSBullet">
    <w:name w:val="CS Bullet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Elsas, Ralf</cp:lastModifiedBy>
  <cp:revision>2</cp:revision>
  <dcterms:created xsi:type="dcterms:W3CDTF">2013-12-23T23:15:00Z</dcterms:created>
  <dcterms:modified xsi:type="dcterms:W3CDTF">2025-09-30T19:50:00Z</dcterms:modified>
  <cp:category/>
</cp:coreProperties>
</file>