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70.png" ContentType="image/png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Pre-registered report: Space Sequence Synesthesia Diagnostic using form mapping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Rémy Lachelin, Chhavi Sachadva, and Nicolas Rothen</w:t>
      </w:r>
    </w:p>
    <w:p>
      <w:pPr>
        <w:pStyle w:val="Author"/>
      </w:pPr>
      <w:r>
        <w:t xml:space="preserve">Psychology, Uni Distance Suisse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33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Rémy Lachelin</w:t>
      </w:r>
      <w:r>
        <w:t xml:space="preserve"> </w:t>
      </w:r>
      <w:bookmarkStart w:id="24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Chhavi Sachadva</w:t>
      </w:r>
      <w:r>
        <w:t xml:space="preserve"> </w:t>
      </w:r>
      <w:bookmarkStart w:id="28" w:name="orchid"/>
      <w:r>
        <w:drawing>
          <wp:inline>
            <wp:extent cx="152279" cy="152279"/>
            <wp:effectExtent b="0" l="0" r="0" t="0"/>
            <wp:docPr descr="Orcid ID Logo: A green circle with white letters ID" title="" id="26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Nicolas Rothen</w:t>
      </w:r>
      <w:r>
        <w:t xml:space="preserve"> </w:t>
      </w:r>
      <w:bookmarkStart w:id="31" w:name="orchid"/>
      <w:r>
        <w:drawing>
          <wp:inline>
            <wp:extent cx="152279" cy="152279"/>
            <wp:effectExtent b="0" l="0" r="0" t="0"/>
            <wp:docPr descr="Orcid ID Logo: A green circle with white letters ID" title="" id="29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  <w:r>
        <w:t xml:space="preserve"> </w:t>
      </w:r>
      <w:hyperlink r:id="rId25">
        <w:r>
          <w:rPr>
            <w:rStyle w:val="Hyperlink"/>
          </w:rPr>
          <w:t xml:space="preserve">https://orcid.org/0000-0000-0000-0000</w:t>
        </w:r>
      </w:hyperlink>
    </w:p>
    <w:p>
      <w:pPr>
        <w:pStyle w:val="BodyText"/>
      </w:pPr>
      <w:r>
        <w:t xml:space="preserve">Correspondence concerning this article should be addressed to Rémy Lachelin, Psychology, Uni Distance Suisse, Brig road, Brig, Valais 0, Email:</w:t>
      </w:r>
      <w:r>
        <w:t xml:space="preserve"> </w:t>
      </w:r>
      <w:hyperlink r:id="rId32">
        <w:r>
          <w:rPr>
            <w:rStyle w:val="Hyperlink"/>
          </w:rPr>
          <w:t xml:space="preserve">remy.lachlein@fernuni.ch</w:t>
        </w:r>
      </w:hyperlink>
    </w:p>
    <w:p>
      <w:r>
        <w:br w:type="page"/>
      </w:r>
    </w:p>
    <w:bookmarkEnd w:id="33"/>
    <w:bookmarkStart w:id="34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is my abstract.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Space sequence synesthesia, consistency</w:t>
      </w:r>
    </w:p>
    <w:p>
      <w:r>
        <w:br w:type="page"/>
      </w:r>
    </w:p>
    <w:bookmarkEnd w:id="34"/>
    <w:bookmarkStart w:id="35" w:name="firstheader"/>
    <w:p>
      <w:pPr>
        <w:pStyle w:val="Heading1"/>
      </w:pPr>
      <w:r>
        <w:t xml:space="preserve">Pre-registered report: Space Sequence Synesthesia Diagnostic using form mapping</w:t>
      </w:r>
    </w:p>
    <w:bookmarkEnd w:id="35"/>
    <w:bookmarkStart w:id="36" w:name="abstract"/>
    <w:p>
      <w:pPr>
        <w:pStyle w:val="Heading1"/>
      </w:pPr>
      <w:r>
        <w:t xml:space="preserve">Abstract:</w:t>
      </w:r>
    </w:p>
    <w:p>
      <w:pPr>
        <w:pStyle w:val="FirstParagraph"/>
      </w:pPr>
      <w:r>
        <w:t xml:space="preserve">Space sequence synesthesia is the phenomenon of representing ordered</w:t>
      </w:r>
      <w:r>
        <w:t xml:space="preserve"> </w:t>
      </w:r>
      <w:r>
        <w:t xml:space="preserve">visual symbols in particular spatial positions. Not everyone has space</w:t>
      </w:r>
      <w:r>
        <w:t xml:space="preserve"> </w:t>
      </w:r>
      <w:r>
        <w:t xml:space="preserve">sequence synesthesia. Existent tools to detect space sequence synethesia</w:t>
      </w:r>
      <w:r>
        <w:t xml:space="preserve"> </w:t>
      </w:r>
      <w:r>
        <w:t xml:space="preserve">are based on self-reports (i.e. questionnaire) and response consistency.</w:t>
      </w:r>
      <w:r>
        <w:t xml:space="preserve"> </w:t>
      </w:r>
      <w:r>
        <w:t xml:space="preserve">Consistency can be derived on the stimulus level, i.e. spatial deviation</w:t>
      </w:r>
      <w:r>
        <w:t xml:space="preserve"> </w:t>
      </w:r>
      <w:r>
        <w:t xml:space="preserve">in time, or on the form level, i.e. geometrical properties. In this</w:t>
      </w:r>
      <w:r>
        <w:t xml:space="preserve"> </w:t>
      </w:r>
      <w:r>
        <w:t xml:space="preserve">pre-registered report, available data from 467 participants is used to</w:t>
      </w:r>
      <w:r>
        <w:t xml:space="preserve"> </w:t>
      </w:r>
      <w:r>
        <w:t xml:space="preserve">explore new tools to discriminate syntheses from controls. Conceptually,</w:t>
      </w:r>
      <w:r>
        <w:t xml:space="preserve"> </w:t>
      </w:r>
      <w:r>
        <w:t xml:space="preserve">the novel criteria aim at taking advantage of the inducer’s ordinality</w:t>
      </w:r>
      <w:r>
        <w:t xml:space="preserve"> </w:t>
      </w:r>
      <w:r>
        <w:t xml:space="preserve">that create synesthetic forms. For this aim, we harness a geography</w:t>
      </w:r>
      <w:r>
        <w:t xml:space="preserve"> </w:t>
      </w:r>
      <w:r>
        <w:t xml:space="preserve">package to extract geometrical features to use as a test for synethesia.</w:t>
      </w:r>
      <w:r>
        <w:t xml:space="preserve"> </w:t>
      </w:r>
      <w:r>
        <w:t xml:space="preserve">Reciever Operator Characteristics are used to select the features that</w:t>
      </w:r>
      <w:r>
        <w:t xml:space="preserve"> </w:t>
      </w:r>
      <w:r>
        <w:t xml:space="preserve">best classify the groups. In a second phase, we will test the predictive</w:t>
      </w:r>
      <w:r>
        <w:t xml:space="preserve"> </w:t>
      </w:r>
      <w:r>
        <w:t xml:space="preserve">power of the new diagnostic features on an additional dataset that has</w:t>
      </w:r>
      <w:r>
        <w:t xml:space="preserve"> </w:t>
      </w:r>
      <w:r>
        <w:t xml:space="preserve">yet to be collected.</w:t>
      </w:r>
    </w:p>
    <w:bookmarkEnd w:id="36"/>
    <w:bookmarkStart w:id="3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Sequence Space Synesthesia (SSS) is defined as representing ordered</w:t>
      </w:r>
      <w:r>
        <w:t xml:space="preserve"> </w:t>
      </w:r>
      <w:r>
        <w:t xml:space="preserve">sequences in particular spatial positions. For example, numbers (the</w:t>
      </w:r>
      <w:r>
        <w:t xml:space="preserve"> </w:t>
      </w:r>
      <w:r>
        <w:rPr>
          <w:i/>
          <w:iCs/>
        </w:rPr>
        <w:t xml:space="preserve">inducers</w:t>
      </w:r>
      <w:r>
        <w:t xml:space="preserve">) are perceived as arranged particular positions in space (the</w:t>
      </w:r>
      <w:r>
        <w:t xml:space="preserve"> </w:t>
      </w:r>
      <w:r>
        <w:rPr>
          <w:i/>
          <w:iCs/>
        </w:rPr>
        <w:t xml:space="preserve">concurrent</w:t>
      </w:r>
      <w:r>
        <w:t xml:space="preserve">), also called number forms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. In addition to</w:t>
      </w:r>
      <w:r>
        <w:t xml:space="preserve"> </w:t>
      </w:r>
      <w:r>
        <w:t xml:space="preserve">numbers, SSS might also perceive weekdays and months in particular</w:t>
      </w:r>
      <w:r>
        <w:t xml:space="preserve"> </w:t>
      </w:r>
      <w:r>
        <w:t xml:space="preserve">arrangement in space.</w:t>
      </w:r>
    </w:p>
    <w:p>
      <w:pPr>
        <w:pStyle w:val="BodyText"/>
      </w:pPr>
      <w:r>
        <w:t xml:space="preserve">Estimated prevalence for SSS in the general population spans between 4.4</w:t>
      </w:r>
      <w:r>
        <w:t xml:space="preserve"> </w:t>
      </w:r>
      <w:r>
        <w:t xml:space="preserve">%</w:t>
      </w:r>
      <w:r>
        <w:t xml:space="preserve"> </w:t>
      </w:r>
      <w:r>
        <w:t xml:space="preserve">(</w:t>
      </w:r>
      <w:hyperlink w:anchor="ref-brang2013">
        <w:r>
          <w:rPr>
            <w:rStyle w:val="Hyperlink"/>
          </w:rPr>
          <w:t xml:space="preserve">Brang et al., 2013</w:t>
        </w:r>
      </w:hyperlink>
      <w:r>
        <w:t xml:space="preserve">)</w:t>
      </w:r>
      <w:r>
        <w:t xml:space="preserve"> </w:t>
      </w:r>
      <w:r>
        <w:t xml:space="preserve">and 14.2 %</w:t>
      </w:r>
      <w:r>
        <w:t xml:space="preserve"> </w:t>
      </w:r>
      <w:r>
        <w:t xml:space="preserve">(</w:t>
      </w:r>
      <w:hyperlink w:anchor="ref-seron1992">
        <w:r>
          <w:rPr>
            <w:rStyle w:val="Hyperlink"/>
          </w:rPr>
          <w:t xml:space="preserve">Seron et al., 1992</w:t>
        </w:r>
      </w:hyperlink>
      <w:r>
        <w:t xml:space="preserve">)</w:t>
      </w:r>
      <w:r>
        <w:t xml:space="preserve">, see also</w:t>
      </w:r>
      <w:r>
        <w:t xml:space="preserve"> </w:t>
      </w:r>
      <w:r>
        <w:t xml:space="preserve">(</w:t>
      </w:r>
      <w:hyperlink w:anchor="ref-sagiv2006">
        <w:r>
          <w:rPr>
            <w:rStyle w:val="Hyperlink"/>
          </w:rPr>
          <w:t xml:space="preserve">Sagiv et al., 2006</w:t>
        </w:r>
      </w:hyperlink>
      <w:r>
        <w:t xml:space="preserve">;</w:t>
      </w:r>
      <w:r>
        <w:t xml:space="preserve"> </w:t>
      </w:r>
      <w:hyperlink w:anchor="ref-ward2018">
        <w:r>
          <w:rPr>
            <w:rStyle w:val="Hyperlink"/>
          </w:rPr>
          <w:t xml:space="preserve">Ward et al., 2018</w:t>
        </w:r>
      </w:hyperlink>
      <w:r>
        <w:t xml:space="preserve">)</w:t>
      </w:r>
      <w:r>
        <w:t xml:space="preserve">. Hence a reliable diagnostic tool to detect SSS would also</w:t>
      </w:r>
      <w:r>
        <w:t xml:space="preserve"> </w:t>
      </w:r>
      <w:r>
        <w:t xml:space="preserve">be useful to investigate SSS. SSS forms are idiosyncratic, meaning they</w:t>
      </w:r>
      <w:r>
        <w:t xml:space="preserve"> </w:t>
      </w:r>
      <w:r>
        <w:t xml:space="preserve">each individual might have a different form. Idiosyncrasy makes it</w:t>
      </w:r>
      <w:r>
        <w:t xml:space="preserve"> </w:t>
      </w:r>
      <w:r>
        <w:t xml:space="preserve">difficult to diagnose SSS.</w:t>
      </w:r>
    </w:p>
    <w:p>
      <w:pPr>
        <w:pStyle w:val="BodyText"/>
      </w:pPr>
      <w:r>
        <w:t xml:space="preserve">Diagnostic depends on the definition of the conditions under</w:t>
      </w:r>
      <w:r>
        <w:t xml:space="preserve"> </w:t>
      </w:r>
      <w:r>
        <w:t xml:space="preserve">investigation. A strict definition of Synestheesia requires five</w:t>
      </w:r>
      <w:r>
        <w:t xml:space="preserve"> </w:t>
      </w:r>
      <w:r>
        <w:t xml:space="preserve">different criteria</w:t>
      </w:r>
      <w:r>
        <w:t xml:space="preserve"> </w:t>
      </w:r>
      <w:r>
        <w:t xml:space="preserve">(</w:t>
      </w:r>
      <w:hyperlink w:anchor="ref-deroy2013">
        <w:r>
          <w:rPr>
            <w:rStyle w:val="Hyperlink"/>
          </w:rPr>
          <w:t xml:space="preserve">Deroy &amp; Spence, 2013</w:t>
        </w:r>
      </w:hyperlink>
      <w:r>
        <w:t xml:space="preserve">)</w:t>
      </w:r>
      <w:r>
        <w:t xml:space="preserve">.</w:t>
      </w:r>
      <w:r>
        <w:t xml:space="preserve"> </w:t>
      </w:r>
      <w:r>
        <w:rPr>
          <w:i/>
          <w:iCs/>
        </w:rPr>
        <w:t xml:space="preserve">Automaticity</w:t>
      </w:r>
      <w:r>
        <w:t xml:space="preserve">: the</w:t>
      </w:r>
      <w:r>
        <w:t xml:space="preserve"> </w:t>
      </w:r>
      <w:r>
        <w:rPr>
          <w:i/>
          <w:iCs/>
        </w:rPr>
        <w:t xml:space="preserve">inducer</w:t>
      </w:r>
      <w:r>
        <w:t xml:space="preserve"> </w:t>
      </w:r>
      <w:r>
        <w:t xml:space="preserve">automatically triggers the</w:t>
      </w:r>
      <w:r>
        <w:t xml:space="preserve"> </w:t>
      </w:r>
      <w:r>
        <w:rPr>
          <w:i/>
          <w:iCs/>
        </w:rPr>
        <w:t xml:space="preserve">concurrent</w:t>
      </w:r>
      <w:r>
        <w:t xml:space="preserve">. For example 10 might</w:t>
      </w:r>
      <w:r>
        <w:t xml:space="preserve"> </w:t>
      </w:r>
      <w:r>
        <w:t xml:space="preserve">automatically be the number in the highest position.</w:t>
      </w:r>
      <w:r>
        <w:t xml:space="preserve"> </w:t>
      </w:r>
      <w:r>
        <w:rPr>
          <w:i/>
          <w:iCs/>
        </w:rPr>
        <w:t xml:space="preserve">Unidirectionality</w:t>
      </w:r>
      <w:r>
        <w:t xml:space="preserve">: while the</w:t>
      </w:r>
      <w:r>
        <w:t xml:space="preserve"> </w:t>
      </w:r>
      <w:r>
        <w:rPr>
          <w:i/>
          <w:iCs/>
        </w:rPr>
        <w:t xml:space="preserve">inducer</w:t>
      </w:r>
      <w:r>
        <w:t xml:space="preserve"> </w:t>
      </w:r>
      <w:r>
        <w:t xml:space="preserve">triggers the concurrent, the</w:t>
      </w:r>
      <w:r>
        <w:t xml:space="preserve"> </w:t>
      </w:r>
      <w:r>
        <w:t xml:space="preserve">concurrent does not trigger the inducer. Hence the highest position does</w:t>
      </w:r>
      <w:r>
        <w:t xml:space="preserve"> </w:t>
      </w:r>
      <w:r>
        <w:t xml:space="preserve">not trigger the number 10.</w:t>
      </w:r>
      <w:r>
        <w:t xml:space="preserve"> </w:t>
      </w:r>
      <w:r>
        <w:rPr>
          <w:i/>
          <w:iCs/>
        </w:rPr>
        <w:t xml:space="preserve">Consciousness</w:t>
      </w:r>
      <w:r>
        <w:t xml:space="preserve">: The concurrent is</w:t>
      </w:r>
      <w:r>
        <w:t xml:space="preserve"> </w:t>
      </w:r>
      <w:r>
        <w:t xml:space="preserve">consciously perceived.</w:t>
      </w:r>
      <w:r>
        <w:t xml:space="preserve"> </w:t>
      </w:r>
      <w:r>
        <w:rPr>
          <w:i/>
          <w:iCs/>
        </w:rPr>
        <w:t xml:space="preserve">Developmentally early</w:t>
      </w:r>
      <w:r>
        <w:t xml:space="preserve">: the experience was</w:t>
      </w:r>
      <w:r>
        <w:t xml:space="preserve"> </w:t>
      </w:r>
      <w:r>
        <w:t xml:space="preserve">already present during childhood.</w:t>
      </w:r>
      <w:r>
        <w:t xml:space="preserve"> </w:t>
      </w:r>
      <w:r>
        <w:rPr>
          <w:i/>
          <w:iCs/>
        </w:rPr>
        <w:t xml:space="preserve">Consistency</w:t>
      </w:r>
      <w:r>
        <w:t xml:space="preserve">: the inducer-concurrent</w:t>
      </w:r>
      <w:r>
        <w:t xml:space="preserve"> </w:t>
      </w:r>
      <w:r>
        <w:t xml:space="preserve">pair remains stable in time. For example, the particular position</w:t>
      </w:r>
      <w:r>
        <w:t xml:space="preserve"> </w:t>
      </w:r>
      <w:r>
        <w:t xml:space="preserve">triggered by 10 is stable in time. Consistency is a well suited</w:t>
      </w:r>
      <w:r>
        <w:t xml:space="preserve"> </w:t>
      </w:r>
      <w:r>
        <w:t xml:space="preserve">charachteristic of synesthesia to develop a diagnostic tool. For esample</w:t>
      </w:r>
      <w:r>
        <w:t xml:space="preserve"> </w:t>
      </w:r>
      <w:r>
        <w:t xml:space="preserve">a consistency test is used to diagnose grapheme-colour synesthesia</w:t>
      </w:r>
      <w:r>
        <w:t xml:space="preserve"> </w:t>
      </w:r>
      <w:r>
        <w:t xml:space="preserve">(</w:t>
      </w:r>
      <w:hyperlink w:anchor="ref-rothen2013a">
        <w:r>
          <w:rPr>
            <w:rStyle w:val="Hyperlink"/>
          </w:rPr>
          <w:t xml:space="preserve">Rothen et al., 2013a</w:t>
        </w:r>
      </w:hyperlink>
      <w:r>
        <w:t xml:space="preserve">)</w:t>
      </w:r>
      <w:r>
        <w:t xml:space="preserve">. While the original groups of synesthetes are mostly</w:t>
      </w:r>
      <w:r>
        <w:t xml:space="preserve"> </w:t>
      </w:r>
      <w:r>
        <w:t xml:space="preserve">generated by self-reports.</w:t>
      </w:r>
    </w:p>
    <w:p>
      <w:pPr>
        <w:pStyle w:val="BodyText"/>
      </w:pPr>
      <w:r>
        <w:t xml:space="preserve">Hence given consistency, similar concurrent responses triggered by the</w:t>
      </w:r>
      <w:r>
        <w:t xml:space="preserve"> </w:t>
      </w:r>
      <w:r>
        <w:t xml:space="preserve">same inducers can be used as a marker for authentic SSS. Consistency</w:t>
      </w:r>
      <w:r>
        <w:t xml:space="preserve"> </w:t>
      </w:r>
      <w:r>
        <w:t xml:space="preserve">test have become golden standart for colour-grapheme synesthesia, where</w:t>
      </w:r>
      <w:r>
        <w:t xml:space="preserve"> </w:t>
      </w:r>
      <w:r>
        <w:t xml:space="preserve">an inducer is presented (i.e. letters of the alphabet) and the</w:t>
      </w:r>
      <w:r>
        <w:t xml:space="preserve"> </w:t>
      </w:r>
      <w:r>
        <w:t xml:space="preserve">participant is requested to selected the concurrent colour, using a</w:t>
      </w:r>
      <w:r>
        <w:t xml:space="preserve"> </w:t>
      </w:r>
      <w:r>
        <w:t xml:space="preserve">colour picker. Individual consistency is then calculated as the distance</w:t>
      </w:r>
      <w:r>
        <w:t xml:space="preserve"> </w:t>
      </w:r>
      <w:r>
        <w:t xml:space="preserve">between repeated colour responses to the same inducers. Interestingly,</w:t>
      </w:r>
      <w:r>
        <w:t xml:space="preserve"> </w:t>
      </w:r>
      <w:r>
        <w:t xml:space="preserve">the best colour space to detect colour-grapheme synesthesia is CIE*LUV,</w:t>
      </w:r>
      <w:r>
        <w:t xml:space="preserve"> </w:t>
      </w:r>
      <w:r>
        <w:t xml:space="preserve">a colour space developed to be isoform to human perception</w:t>
      </w:r>
      <w:r>
        <w:t xml:space="preserve"> </w:t>
      </w:r>
      <w:r>
        <w:t xml:space="preserve">(</w:t>
      </w:r>
      <w:hyperlink w:anchor="ref-rothen2013">
        <w:r>
          <w:rPr>
            <w:rStyle w:val="Hyperlink"/>
          </w:rPr>
          <w:t xml:space="preserve">Rothen et al., 2013b</w:t>
        </w:r>
      </w:hyperlink>
      <w:r>
        <w:t xml:space="preserve">)</w:t>
      </w:r>
      <w:r>
        <w:t xml:space="preserve">. Analogously to grapheme-colour synesthetes, consistency</w:t>
      </w:r>
      <w:r>
        <w:t xml:space="preserve"> </w:t>
      </w:r>
      <w:r>
        <w:t xml:space="preserve">test can be used to diagnose SSS. In that tasks, it is repeatedly asked</w:t>
      </w:r>
      <w:r>
        <w:t xml:space="preserve"> </w:t>
      </w:r>
      <w:r>
        <w:t xml:space="preserve">to report the position of the inducers on a screen. The total area</w:t>
      </w:r>
      <w:r>
        <w:t xml:space="preserve"> </w:t>
      </w:r>
      <w:r>
        <w:t xml:space="preserve">between the responses of same inducer (i.e. a triangle if repeated three</w:t>
      </w:r>
      <w:r>
        <w:t xml:space="preserve"> </w:t>
      </w:r>
      <w:r>
        <w:t xml:space="preserve">times) is then used as characteristic to diagnose SSS. The rationale</w:t>
      </w:r>
      <w:r>
        <w:t xml:space="preserve"> </w:t>
      </w:r>
      <w:r>
        <w:t xml:space="preserve">being that consistent responses would lead to smaller area than</w:t>
      </w:r>
      <w:r>
        <w:t xml:space="preserve"> </w:t>
      </w:r>
      <w:r>
        <w:t xml:space="preserve">inconsistent ones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. This method resembles how number forms</w:t>
      </w:r>
      <w:r>
        <w:t xml:space="preserve"> </w:t>
      </w:r>
      <w:r>
        <w:t xml:space="preserve">are describe in the single case study</w:t>
      </w:r>
      <w:r>
        <w:t xml:space="preserve"> </w:t>
      </w:r>
      <w:r>
        <w:t xml:space="preserve">(</w:t>
      </w:r>
      <w:hyperlink w:anchor="ref-piazza2006">
        <w:r>
          <w:rPr>
            <w:rStyle w:val="Hyperlink"/>
          </w:rPr>
          <w:t xml:space="preserve">Piazza et al., 2006</w:t>
        </w:r>
      </w:hyperlink>
      <w:r>
        <w:t xml:space="preserve">)</w:t>
      </w:r>
      <w:r>
        <w:t xml:space="preserve">, see Experiment 1.</w:t>
      </w:r>
    </w:p>
    <w:p>
      <w:pPr>
        <w:pStyle w:val="BodyText"/>
      </w:pPr>
      <w:r>
        <w:t xml:space="preserve">However disciminating synesthesia using total area has several</w:t>
      </w:r>
      <w:r>
        <w:t xml:space="preserve"> </w:t>
      </w:r>
      <w:r>
        <w:t xml:space="preserve">limitations. For example high consistency by non-synesthetes can be</w:t>
      </w:r>
      <w:r>
        <w:t xml:space="preserve"> </w:t>
      </w:r>
      <w:r>
        <w:t xml:space="preserve">achieved by giving all responses on the same screen position (i.e. false</w:t>
      </w:r>
      <w:r>
        <w:t xml:space="preserve"> </w:t>
      </w:r>
      <w:r>
        <w:t xml:space="preserve">positive). Moreover, this kind of criteria might bias the diagnosis to</w:t>
      </w:r>
      <w:r>
        <w:t xml:space="preserve"> </w:t>
      </w:r>
      <w:r>
        <w:t xml:space="preserve">include synesthetes with straight lines which leads to less variability</w:t>
      </w:r>
      <w:r>
        <w:t xml:space="preserve"> </w:t>
      </w:r>
      <w:r>
        <w:t xml:space="preserve">than more complex forms</w:t>
      </w:r>
      <w:r>
        <w:t xml:space="preserve">(</w:t>
      </w:r>
      <w:hyperlink w:anchor="ref-Ward">
        <w:r>
          <w:rPr>
            <w:rStyle w:val="Hyperlink"/>
            <w:b/>
            <w:bCs/>
          </w:rPr>
          <w:t xml:space="preserve">Ward?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goal of the present registered report is to first identify new</w:t>
      </w:r>
      <w:r>
        <w:t xml:space="preserve"> </w:t>
      </w:r>
      <w:r>
        <w:t xml:space="preserve">features characterizing synesthetes responses based on already available</w:t>
      </w:r>
      <w:r>
        <w:t xml:space="preserve"> </w:t>
      </w:r>
      <w:r>
        <w:t xml:space="preserve">datasets and test the best working features on a future dataset. The new</w:t>
      </w:r>
      <w:r>
        <w:t xml:space="preserve"> </w:t>
      </w:r>
      <w:r>
        <w:t xml:space="preserve">features are designed to take advantage of two properties of synesthetic</w:t>
      </w:r>
      <w:r>
        <w:t xml:space="preserve"> </w:t>
      </w:r>
      <w:r>
        <w:t xml:space="preserve">responses that have not been included in precedent consistency tests.</w:t>
      </w:r>
      <w:r>
        <w:t xml:space="preserve"> </w:t>
      </w:r>
      <w:r>
        <w:t xml:space="preserve">First, sequentiality on top of single inducer responses the ordered</w:t>
      </w:r>
      <w:r>
        <w:t xml:space="preserve"> </w:t>
      </w:r>
      <w:r>
        <w:t xml:space="preserve">position between subsequent induces is important. For example the</w:t>
      </w:r>
      <w:r>
        <w:t xml:space="preserve"> </w:t>
      </w:r>
      <w:r>
        <w:t xml:space="preserve">relative position of August and the other months. From numerical</w:t>
      </w:r>
      <w:r>
        <w:t xml:space="preserve"> </w:t>
      </w:r>
      <w:r>
        <w:t xml:space="preserve">cognition, ordinality has been acknowledged to be an important semantic</w:t>
      </w:r>
      <w:r>
        <w:t xml:space="preserve"> </w:t>
      </w:r>
      <w:r>
        <w:t xml:space="preserve">property of numbers, also given their sequential acquisition (i.e. 1 is</w:t>
      </w:r>
      <w:r>
        <w:t xml:space="preserve"> </w:t>
      </w:r>
      <w:r>
        <w:t xml:space="preserve">learned before 2). Second, thee particular synthetic forms of the</w:t>
      </w:r>
      <w:r>
        <w:t xml:space="preserve"> </w:t>
      </w:r>
      <w:r>
        <w:t xml:space="preserve">sequential spatial location. These forms might have geometrical</w:t>
      </w:r>
      <w:r>
        <w:t xml:space="preserve"> </w:t>
      </w:r>
      <w:r>
        <w:t xml:space="preserve">properties. For example months of the year might be represented</w:t>
      </w:r>
      <w:r>
        <w:t xml:space="preserve"> </w:t>
      </w:r>
      <w:r>
        <w:t xml:space="preserve">circularly (as already described by</w:t>
      </w:r>
      <w:r>
        <w:t xml:space="preserve"> </w:t>
      </w:r>
      <w:r>
        <w:t xml:space="preserve">(</w:t>
      </w:r>
      <w:hyperlink w:anchor="ref-galton1880">
        <w:r>
          <w:rPr>
            <w:rStyle w:val="Hyperlink"/>
          </w:rPr>
          <w:t xml:space="preserve">Galton, 1880</w:t>
        </w:r>
      </w:hyperlink>
      <w:r>
        <w:t xml:space="preserve">)</w:t>
      </w:r>
      <w:r>
        <w:t xml:space="preserve"> </w:t>
      </w:r>
      <w:r>
        <w:t xml:space="preserve">for numbers).</w:t>
      </w:r>
    </w:p>
    <w:p>
      <w:pPr>
        <w:pStyle w:val="BodyText"/>
      </w:pPr>
      <w:r>
        <w:t xml:space="preserve">To take advantage of sequential and geometrical synesthetic forms, we</w:t>
      </w:r>
      <w:r>
        <w:t xml:space="preserve"> </w:t>
      </w:r>
      <w:r>
        <w:t xml:space="preserve">harnessed a geo-spatial package</w:t>
      </w:r>
      <w:r>
        <w:t xml:space="preserve">(</w:t>
      </w:r>
      <w:hyperlink w:anchor="ref-pebesma2018">
        <w:r>
          <w:rPr>
            <w:rStyle w:val="Hyperlink"/>
          </w:rPr>
          <w:t xml:space="preserve">Pebesma, 2018</w:t>
        </w:r>
      </w:hyperlink>
      <w:r>
        <w:t xml:space="preserve">)</w:t>
      </w:r>
      <w:r>
        <w:t xml:space="preserve"> </w:t>
      </w:r>
      <w:r>
        <w:t xml:space="preserve">to extract geometrical</w:t>
      </w:r>
      <w:r>
        <w:t xml:space="preserve"> </w:t>
      </w:r>
      <w:r>
        <w:t xml:space="preserve">features from participant x and y coordinate responses. This packages</w:t>
      </w:r>
      <w:r>
        <w:t xml:space="preserve"> </w:t>
      </w:r>
      <w:r>
        <w:t xml:space="preserve">allows for example to build string or polygons for each repetition and</w:t>
      </w:r>
      <w:r>
        <w:t xml:space="preserve"> </w:t>
      </w:r>
      <w:r>
        <w:t xml:space="preserve">compare different geometrical features. Those individual geometrical</w:t>
      </w:r>
      <w:r>
        <w:t xml:space="preserve"> </w:t>
      </w:r>
      <w:r>
        <w:t xml:space="preserve">features are then compared using Receiver Operator Characteristics (ROC)</w:t>
      </w:r>
      <w:r>
        <w:t xml:space="preserve"> </w:t>
      </w:r>
      <w:r>
        <w:t xml:space="preserve">between individuals grouped as synesthets and control. In the present</w:t>
      </w:r>
      <w:r>
        <w:t xml:space="preserve"> </w:t>
      </w:r>
      <w:r>
        <w:rPr>
          <w:i/>
          <w:iCs/>
        </w:rPr>
        <w:t xml:space="preserve">phase I</w:t>
      </w:r>
      <w:r>
        <w:t xml:space="preserve">,we compare ROC on three merged derivation datasets using the</w:t>
      </w:r>
      <w:r>
        <w:t xml:space="preserve"> </w:t>
      </w:r>
      <w:r>
        <w:t xml:space="preserve">same task on SSS</w:t>
      </w:r>
      <w:r>
        <w:t xml:space="preserve"> </w:t>
      </w:r>
      <w:r>
        <w:t xml:space="preserve">Ward (</w:t>
      </w:r>
      <w:hyperlink w:anchor="ref-ward">
        <w:r>
          <w:rPr>
            <w:rStyle w:val="Hyperlink"/>
          </w:rPr>
          <w:t xml:space="preserve">n.d.-a</w:t>
        </w:r>
      </w:hyperlink>
      <w:r>
        <w:t xml:space="preserve">)</w:t>
      </w:r>
      <w:r>
        <w:t xml:space="preserve">. In future</w:t>
      </w:r>
      <w:r>
        <w:t xml:space="preserve"> </w:t>
      </w:r>
      <w:r>
        <w:rPr>
          <w:i/>
          <w:iCs/>
        </w:rPr>
        <w:t xml:space="preserve">phase II</w:t>
      </w:r>
      <w:r>
        <w:t xml:space="preserve">, we compare whether the features selected to diagnose SSS in</w:t>
      </w:r>
      <w:r>
        <w:t xml:space="preserve"> </w:t>
      </w:r>
      <w:r>
        <w:rPr>
          <w:i/>
          <w:iCs/>
        </w:rPr>
        <w:t xml:space="preserve">phase I,</w:t>
      </w:r>
      <w:r>
        <w:t xml:space="preserve"> </w:t>
      </w:r>
      <w:r>
        <w:t xml:space="preserve">on a validation dataset that is not yet acquired (registered</w:t>
      </w:r>
      <w:r>
        <w:t xml:space="preserve"> </w:t>
      </w:r>
      <w:r>
        <w:t xml:space="preserve">report on the open science foundation:</w:t>
      </w:r>
      <w:r>
        <w:t xml:space="preserve"> </w:t>
      </w:r>
      <w:hyperlink r:id="rId37">
        <w:r>
          <w:rPr>
            <w:rStyle w:val="Hyperlink"/>
          </w:rPr>
          <w:t xml:space="preserve">https://osf.io/9efjb/</w:t>
        </w:r>
      </w:hyperlink>
      <w:r>
        <w:rPr>
          <w:b/>
          <w:bCs/>
        </w:rPr>
        <w:t xml:space="preserve">).</w:t>
      </w:r>
    </w:p>
    <w:bookmarkEnd w:id="38"/>
    <w:bookmarkStart w:id="43" w:name="general-methods"/>
    <w:p>
      <w:pPr>
        <w:pStyle w:val="Heading1"/>
      </w:pPr>
      <w:r>
        <w:t xml:space="preserve">General Methods</w:t>
      </w:r>
    </w:p>
    <w:p>
      <w:pPr>
        <w:pStyle w:val="FirstParagraph"/>
      </w:pPr>
      <w:r>
        <w:rPr>
          <w:i/>
          <w:iCs/>
        </w:rPr>
        <w:t xml:space="preserve">Phase I: present analyses</w:t>
      </w:r>
      <w:r>
        <w:t xml:space="preserve">. We merge three available dataset and</w:t>
      </w:r>
      <w:r>
        <w:t xml:space="preserve"> </w:t>
      </w:r>
      <w:r>
        <w:t xml:space="preserve">compared available diagnostic criteria across datasets using Receiver</w:t>
      </w:r>
      <w:r>
        <w:t xml:space="preserve"> </w:t>
      </w:r>
      <w:r>
        <w:t xml:space="preserve">Operator Characteristics (ROC) for different approaches. A first</w:t>
      </w:r>
      <w:r>
        <w:t xml:space="preserve"> </w:t>
      </w:r>
      <w:r>
        <w:t xml:space="preserve">approach of diagnostic criteria based on a stimulus level consistency.</w:t>
      </w:r>
      <w:r>
        <w:t xml:space="preserve"> </w:t>
      </w:r>
      <w:r>
        <w:t xml:space="preserve">The rationale being that synesthetes should produce more consistent</w:t>
      </w:r>
      <w:r>
        <w:t xml:space="preserve"> </w:t>
      </w:r>
      <w:r>
        <w:t xml:space="preserve">(i.e. less variable) across repetitions. Such criteria include area</w:t>
      </w:r>
      <w:r>
        <w:t xml:space="preserve"> </w:t>
      </w:r>
      <w:r>
        <w:t xml:space="preserve">between repetitions</w:t>
      </w:r>
      <w:r>
        <w:rPr>
          <w:rStyle w:val="FootnoteReference"/>
        </w:rPr>
        <w:footnoteReference w:id="39"/>
      </w:r>
      <w:r>
        <w:t xml:space="preserve">, standard deviation of responses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t xml:space="preserve">permuting the responses to compare each responses to a permuted chance</w:t>
      </w:r>
      <w:r>
        <w:t xml:space="preserve"> </w:t>
      </w:r>
      <w:r>
        <w:t xml:space="preserve">level Root</w:t>
      </w:r>
      <w:r>
        <w:t xml:space="preserve"> 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)</w:t>
      </w:r>
      <w:r>
        <w:t xml:space="preserve">. The second suggested approach is to look at the</w:t>
      </w:r>
      <w:r>
        <w:t xml:space="preserve"> </w:t>
      </w:r>
      <w:r>
        <w:t xml:space="preserve">geometrical form generated by the responses across repetitions. The</w:t>
      </w:r>
      <w:r>
        <w:t xml:space="preserve"> </w:t>
      </w:r>
      <w:r>
        <w:t xml:space="preserve">rationale here is that synesthetic responses should have geometrical</w:t>
      </w:r>
      <w:r>
        <w:t xml:space="preserve"> </w:t>
      </w:r>
      <w:r>
        <w:t xml:space="preserve">feature that differ from controls. For example, several SSS</w:t>
      </w:r>
      <w:r>
        <w:t xml:space="preserve"> </w:t>
      </w:r>
      <w:r>
        <w:t xml:space="preserve">representations for months are circular. For the form</w:t>
      </w:r>
    </w:p>
    <w:p>
      <w:pPr>
        <w:pStyle w:val="BodyText"/>
      </w:pPr>
      <w:r>
        <w:t xml:space="preserve">Third, we compare whether the features lead to similar ROC</w:t>
      </w:r>
      <w:r>
        <w:t xml:space="preserve"> </w:t>
      </w:r>
      <w:r>
        <w:t xml:space="preserve">characteristics across the different sets (i.e. for months, weeks and</w:t>
      </w:r>
      <w:r>
        <w:t xml:space="preserve"> </w:t>
      </w:r>
      <w:r>
        <w:t xml:space="preserve">numbers). Fourth, we compute new candidate geometrical features that</w:t>
      </w:r>
      <w:r>
        <w:t xml:space="preserve"> </w:t>
      </w:r>
      <w:r>
        <w:t xml:space="preserve">could be used to diagnose SS. Finally we summarize and compare all ROC</w:t>
      </w:r>
      <w:r>
        <w:t xml:space="preserve"> </w:t>
      </w:r>
      <w:r>
        <w:t xml:space="preserve">and select the best features that class synesthetes from control with</w:t>
      </w:r>
      <w:r>
        <w:t xml:space="preserve"> </w:t>
      </w:r>
      <w:r>
        <w:t xml:space="preserve">the merged dataset.</w:t>
      </w:r>
    </w:p>
    <w:p>
      <w:pPr>
        <w:pStyle w:val="BodyText"/>
      </w:pPr>
      <w:r>
        <w:rPr>
          <w:i/>
          <w:iCs/>
        </w:rPr>
        <w:t xml:space="preserve">Phase II: future analyses.</w:t>
      </w:r>
      <w:r>
        <w:t xml:space="preserve"> </w:t>
      </w:r>
      <w:r>
        <w:t xml:space="preserve">On a future dataset to be collected using</w:t>
      </w:r>
      <w:r>
        <w:t xml:space="preserve"> </w:t>
      </w:r>
      <w:r>
        <w:t xml:space="preserve">the same task, we will compare the predictive power of the selected</w:t>
      </w:r>
      <w:r>
        <w:t xml:space="preserve"> </w:t>
      </w:r>
      <w:r>
        <w:t xml:space="preserve">features using ROC.</w:t>
      </w:r>
    </w:p>
    <w:bookmarkStart w:id="41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A the exception of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https://osf.io/6hq94/files/osfstorage</w:t>
        </w:r>
      </w:hyperlink>
      <w:r>
        <w:t xml:space="preserve">), the data from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were collected online. The 29 inducers were: the 12</w:t>
      </w:r>
      <w:r>
        <w:t xml:space="preserve"> </w:t>
      </w:r>
      <w:r>
        <w:t xml:space="preserve">months of a year, 7 days of the week and 10 numbers (i.e. hindo-arabic</w:t>
      </w:r>
      <w:r>
        <w:t xml:space="preserve"> </w:t>
      </w:r>
      <w:r>
        <w:t xml:space="preserve">numerals from 0 to 9).</w:t>
      </w:r>
      <w:r>
        <w:t xml:space="preserve"> </w:t>
      </w:r>
      <w:r>
        <w:t xml:space="preserve">(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)</w:t>
      </w:r>
      <w:r>
        <w:t xml:space="preserve"> </w:t>
      </w:r>
      <w:r>
        <w:t xml:space="preserve">Also presented 50 and 100</w:t>
      </w:r>
      <w:r>
        <w:t xml:space="preserve"> </w:t>
      </w:r>
      <w:r>
        <w:t xml:space="preserve">numerals, which we excluded here.</w:t>
      </w:r>
      <w:r>
        <w:t xml:space="preserve"> 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data is collected using the</w:t>
      </w:r>
      <w:r>
        <w:t xml:space="preserve"> </w:t>
      </w:r>
      <w:r>
        <w:t xml:space="preserve">Syntoolkit.</w:t>
      </w:r>
    </w:p>
    <w:bookmarkEnd w:id="41"/>
    <w:bookmarkStart w:id="42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t xml:space="preserve">The details for each procedure is described in each respective article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, here we describe the common</w:t>
      </w:r>
      <w:r>
        <w:t xml:space="preserve"> </w:t>
      </w:r>
      <w:r>
        <w:t xml:space="preserve">task.</w:t>
      </w:r>
    </w:p>
    <w:p>
      <w:pPr>
        <w:pStyle w:val="BodyText"/>
      </w:pPr>
      <w:r>
        <w:t xml:space="preserve">Each participant is presented with one one inducer at a time at the</w:t>
      </w:r>
      <w:r>
        <w:t xml:space="preserve"> </w:t>
      </w:r>
      <w:r>
        <w:t xml:space="preserve">center of a otherwise white screen. The participant is instructed to</w:t>
      </w:r>
      <w:r>
        <w:t xml:space="preserve"> </w:t>
      </w:r>
      <w:r>
        <w:t xml:space="preserve">click at the screen position that they visualize them. Inducers order is</w:t>
      </w:r>
      <w:r>
        <w:t xml:space="preserve"> </w:t>
      </w:r>
      <w:r>
        <w:t xml:space="preserve">randomized and each inducer is repeated three times.</w:t>
      </w:r>
    </w:p>
    <w:p>
      <w:pPr>
        <w:pStyle w:val="BodyText"/>
      </w:pPr>
      <w:r>
        <w:rPr>
          <w:i/>
          <w:iCs/>
        </w:rPr>
        <w:t xml:space="preserve">The order of the stimuli was randomized, but such that no stimulus was</w:t>
      </w:r>
      <w:r>
        <w:rPr>
          <w:i/>
          <w:iCs/>
        </w:rPr>
        <w:t xml:space="preserve"> </w:t>
      </w:r>
      <w:r>
        <w:rPr>
          <w:i/>
          <w:iCs/>
        </w:rPr>
        <w:t xml:space="preserve">repeated until the previous batch of unique stimuli (N = 29) had been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presented.</w:t>
      </w:r>
    </w:p>
    <w:p>
      <w:pPr>
        <w:pStyle w:val="BodyText"/>
      </w:pPr>
      <w:r>
        <w:t xml:space="preserve">Importantly, while the three datasets inclucded in</w:t>
      </w:r>
      <w:r>
        <w:t xml:space="preserve"> </w:t>
      </w:r>
      <w:r>
        <w:rPr>
          <w:i/>
          <w:iCs/>
        </w:rPr>
        <w:t xml:space="preserve">phase I</w:t>
      </w:r>
      <w:r>
        <w:t xml:space="preserve"> </w:t>
      </w:r>
      <w:r>
        <w:t xml:space="preserve">include</w:t>
      </w:r>
      <w:r>
        <w:t xml:space="preserve"> </w:t>
      </w:r>
      <w:r>
        <w:t xml:space="preserve">three repetitions per stimuli, the</w:t>
      </w:r>
      <w:r>
        <w:t xml:space="preserve"> </w:t>
      </w:r>
      <w:r>
        <w:rPr>
          <w:i/>
          <w:iCs/>
        </w:rPr>
        <w:t xml:space="preserve">phase II</w:t>
      </w:r>
      <w:r>
        <w:t xml:space="preserve"> </w:t>
      </w:r>
      <w:r>
        <w:t xml:space="preserve">will use four repetition</w:t>
      </w:r>
      <w:r>
        <w:t xml:space="preserve"> </w:t>
      </w:r>
      <w:r>
        <w:t xml:space="preserve">per stimuli. Hence the cut-offs will be designed to be scalable to</w:t>
      </w:r>
      <w:r>
        <w:t xml:space="preserve"> </w:t>
      </w:r>
      <w:r>
        <w:t xml:space="preserve">different number of repetitions and stimulus.</w:t>
      </w:r>
    </w:p>
    <w:bookmarkEnd w:id="42"/>
    <w:bookmarkEnd w:id="43"/>
    <w:bookmarkStart w:id="47" w:name="phase-i-methods"/>
    <w:p>
      <w:pPr>
        <w:pStyle w:val="Heading1"/>
      </w:pPr>
      <w:r>
        <w:rPr>
          <w:i/>
          <w:iCs/>
        </w:rPr>
        <w:t xml:space="preserve">Phase I</w:t>
      </w:r>
      <w:r>
        <w:t xml:space="preserve"> </w:t>
      </w:r>
      <w:r>
        <w:t xml:space="preserve">Methods</w:t>
      </w:r>
    </w:p>
    <w:bookmarkStart w:id="44" w:name="phase-i-merge-and-prepare-data"/>
    <w:p>
      <w:pPr>
        <w:pStyle w:val="Heading2"/>
      </w:pPr>
      <w:r>
        <w:rPr>
          <w:i/>
          <w:iCs/>
        </w:rPr>
        <w:t xml:space="preserve">Phase I</w:t>
      </w:r>
      <w:r>
        <w:t xml:space="preserve">: Merge and prepare data</w:t>
      </w:r>
    </w:p>
    <w:p>
      <w:pPr>
        <w:pStyle w:val="FirstParagraph"/>
      </w:pPr>
      <w:r>
        <w:t xml:space="preserve">We merged three datasets:</w:t>
      </w:r>
      <w:r>
        <w:t xml:space="preserve"> </w:t>
      </w:r>
      <w:r>
        <w:t xml:space="preserve">Rothen et al. (</w:t>
      </w:r>
      <w:hyperlink w:anchor="ref-rothen2016">
        <w:r>
          <w:rPr>
            <w:rStyle w:val="Hyperlink"/>
          </w:rPr>
          <w:t xml:space="preserve">2016</w:t>
        </w:r>
      </w:hyperlink>
      <w:r>
        <w:t xml:space="preserve">)</w:t>
      </w:r>
      <w:r>
        <w:t xml:space="preserve">],</w:t>
      </w:r>
      <w:r>
        <w:t xml:space="preserve">(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 </w:t>
      </w:r>
      <w:r>
        <w:t xml:space="preserve">(from:</w:t>
      </w:r>
      <w:r>
        <w:t xml:space="preserve"> </w:t>
      </w:r>
      <w:hyperlink w:anchor="X6589fc6ab0dc82cf12099d1c2d40ab994e8410c">
        <w:r>
          <w:rPr>
            <w:rStyle w:val="Hyperlink"/>
          </w:rPr>
          <w:t xml:space="preserve">https://osf.io/p5xsd/files/osfstorage</w:t>
        </w:r>
      </w:hyperlink>
      <w:r>
        <w:t xml:space="preserve">) and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. To match the other datasets, stimuli form</w:t>
      </w:r>
      <w:r>
        <w:t xml:space="preserve"> </w:t>
      </w:r>
      <w:r>
        <w:t xml:space="preserve">(</w:t>
      </w:r>
      <w:hyperlink w:anchor="ref-vanpetersen2020">
        <w:r>
          <w:rPr>
            <w:rStyle w:val="Hyperlink"/>
          </w:rPr>
          <w:t xml:space="preserve">Van Petersen et al., 2020b</w:t>
        </w:r>
      </w:hyperlink>
      <w:r>
        <w:t xml:space="preserve">)</w:t>
      </w:r>
      <w:r>
        <w:t xml:space="preserve"> </w:t>
      </w:r>
      <w:r>
        <w:t xml:space="preserve">are translated from dutch to English and for the</w:t>
      </w:r>
      <w:r>
        <w:t xml:space="preserve"> </w:t>
      </w:r>
      <w:r>
        <w:t xml:space="preserve">stimuli, only numbers from 0 to 9 are kept (excluding 50 and 100). The x</w:t>
      </w:r>
      <w:r>
        <w:t xml:space="preserve"> </w:t>
      </w:r>
      <w:r>
        <w:t xml:space="preserve">and y coordinates were then separately normalized (z-score) per</w:t>
      </w:r>
      <w:r>
        <w:t xml:space="preserve"> </w:t>
      </w:r>
      <w:r>
        <w:t xml:space="preserve">participant.</w:t>
      </w:r>
    </w:p>
    <w:p>
      <w:pPr>
        <w:pStyle w:val="BodyText"/>
      </w:pPr>
      <w:r>
        <w:t xml:space="preserve">Invalid responses were additinally set as NaN if a participan’ts coordinate were the same across conditions and repetitions.</w:t>
      </w:r>
      <w:r>
        <w:t xml:space="preserve"> </w:t>
      </w:r>
      <w:r>
        <w:t xml:space="preserve">Then, we excluded 35 participants who had less than 50 % of valid responses per conditions and repetitions. We also manually adjusted the screen size from some participants since those values changed across the experiment.</w:t>
      </w:r>
    </w:p>
    <w:bookmarkEnd w:id="44"/>
    <w:bookmarkStart w:id="45" w:name="phase-i.-population"/>
    <w:p>
      <w:pPr>
        <w:pStyle w:val="Heading2"/>
      </w:pPr>
      <w:r>
        <w:rPr>
          <w:i/>
          <w:iCs/>
        </w:rPr>
        <w:t xml:space="preserve">Phase I.</w:t>
      </w:r>
      <w:r>
        <w:t xml:space="preserve"> </w:t>
      </w:r>
      <w:r>
        <w:t xml:space="preserve">Population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PeterCor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Rothen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</w:tr>
    </w:tbl>
    <w:p>
      <w:pPr>
        <w:pStyle w:val="BodyText"/>
      </w:pPr>
      <w:r>
        <w:t xml:space="preserve">For all the three datasets, the synesthetes were self-reported.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Synesthetes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 females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 females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rothen2016">
              <w:r>
                <w:rPr>
                  <w:rStyle w:val="Hyperlink"/>
                </w:rPr>
                <w:t xml:space="preserve">Rothen et al., 2016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vanpetersen2020">
              <w:r>
                <w:rPr>
                  <w:rStyle w:val="Hyperlink"/>
                </w:rPr>
                <w:t xml:space="preserve">Van Petersen et al., 2020b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23.22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21.57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hyperlink w:anchor="ref-wardb">
              <w:r>
                <w:rPr>
                  <w:rStyle w:val="Hyperlink"/>
                </w:rPr>
                <w:t xml:space="preserve">Ward, n.d.-b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37.21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19.90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Merged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557</w:t>
            </w:r>
          </w:p>
        </w:tc>
      </w:tr>
    </w:tbl>
    <w:bookmarkEnd w:id="45"/>
    <w:bookmarkStart w:id="46" w:name="phase-i.-analysis"/>
    <w:p>
      <w:pPr>
        <w:pStyle w:val="Heading2"/>
      </w:pPr>
      <w:r>
        <w:rPr>
          <w:i/>
          <w:iCs/>
        </w:rPr>
        <w:t xml:space="preserve">Phase I</w:t>
      </w:r>
      <w:r>
        <w:t xml:space="preserve">. Analysis</w:t>
      </w:r>
    </w:p>
    <w:p>
      <w:pPr>
        <w:pStyle w:val="FirstParagraph"/>
      </w:pPr>
      <w:r>
        <w:t xml:space="preserve">First, we replicate consistency methods found in the literature using</w:t>
      </w:r>
      <w:r>
        <w:t xml:space="preserve"> </w:t>
      </w:r>
      <w:r>
        <w:t xml:space="preserve">the same task (</w:t>
      </w:r>
      <w:r>
        <w:t xml:space="preserve">(</w:t>
      </w:r>
      <w:hyperlink w:anchor="ref-root2021">
        <w:r>
          <w:rPr>
            <w:rStyle w:val="Hyperlink"/>
          </w:rPr>
          <w:t xml:space="preserve">Root et al., 2021</w:t>
        </w:r>
      </w:hyperlink>
      <w:r>
        <w:t xml:space="preserve">;</w:t>
      </w:r>
      <w:r>
        <w:t xml:space="preserve"> 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;</w:t>
      </w:r>
      <w:r>
        <w:t xml:space="preserve"> </w:t>
      </w:r>
      <w:hyperlink w:anchor="ref-vanpetersen2020a">
        <w:r>
          <w:rPr>
            <w:rStyle w:val="Hyperlink"/>
          </w:rPr>
          <w:t xml:space="preserve">Van Petersen et al., 2020a</w:t>
        </w:r>
      </w:hyperlink>
      <w:r>
        <w:t xml:space="preserve">;</w:t>
      </w:r>
      <w:r>
        <w:t xml:space="preserve"> </w:t>
      </w:r>
      <w:hyperlink w:anchor="ref-ward">
        <w:r>
          <w:rPr>
            <w:rStyle w:val="Hyperlink"/>
          </w:rPr>
          <w:t xml:space="preserve">Ward, n.d.-a</w:t>
        </w:r>
      </w:hyperlink>
      <w:r>
        <w:t xml:space="preserve">)</w:t>
      </w:r>
      <w:r>
        <w:t xml:space="preserve">) and</w:t>
      </w:r>
      <w:r>
        <w:t xml:space="preserve"> </w:t>
      </w:r>
      <w:r>
        <w:t xml:space="preserve">compare the results.</w:t>
      </w:r>
    </w:p>
    <w:p>
      <w:pPr>
        <w:pStyle w:val="BodyText"/>
      </w:pPr>
      <w:r>
        <w:t xml:space="preserve">Second, we extract features based on the form. (C) We harness a</w:t>
      </w:r>
      <w:r>
        <w:t xml:space="preserve"> </w:t>
      </w:r>
      <w:r>
        <w:t xml:space="preserve">geography package to compute segment based features (D) We compute</w:t>
      </w:r>
      <w:r>
        <w:t xml:space="preserve"> </w:t>
      </w:r>
      <w:r>
        <w:t xml:space="preserve">polygon based features. (E) Convex Hull (F) Angles.</w:t>
      </w:r>
    </w:p>
    <w:bookmarkEnd w:id="46"/>
    <w:bookmarkEnd w:id="47"/>
    <w:bookmarkStart w:id="48" w:name="phase-i.-results-reproduce"/>
    <w:p>
      <w:pPr>
        <w:pStyle w:val="Heading1"/>
      </w:pPr>
      <w:r>
        <w:rPr>
          <w:i/>
          <w:iCs/>
        </w:rPr>
        <w:t xml:space="preserve">Phase I.</w:t>
      </w:r>
      <w:r>
        <w:t xml:space="preserve"> </w:t>
      </w:r>
      <w:r>
        <w:t xml:space="preserve">Results Reproduce</w:t>
      </w:r>
    </w:p>
    <w:bookmarkEnd w:id="48"/>
    <w:bookmarkStart w:id="51" w:name="replicated-features"/>
    <w:p>
      <w:pPr>
        <w:pStyle w:val="Heading1"/>
      </w:pPr>
      <w:r>
        <w:t xml:space="preserve">Replicated features</w:t>
      </w:r>
    </w:p>
    <w:bookmarkStart w:id="49" w:name="triangle-area-consistency"/>
    <w:p>
      <w:pPr>
        <w:pStyle w:val="Heading2"/>
      </w:pPr>
      <w:r>
        <w:t xml:space="preserve">Triangle area Consistency</w:t>
      </w:r>
    </w:p>
    <w:p>
      <w:pPr>
        <w:pStyle w:val="FirstParagraph"/>
      </w:pPr>
      <w:r>
        <w:rPr>
          <w:b/>
          <w:bCs/>
        </w:rPr>
        <w:t xml:space="preserve">Definition</w:t>
      </w:r>
      <w:r>
        <w:t xml:space="preserve">: Calculating consistency. Each stimulus is represented by</w:t>
      </w:r>
      <w:r>
        <w:t xml:space="preserve"> </w:t>
      </w:r>
      <w:r>
        <w:t xml:space="preserve">three xy coordinates - (x1, y1), (x2, y2), (x3, y3) - from the three</w:t>
      </w:r>
      <w:r>
        <w:t xml:space="preserve"> </w:t>
      </w:r>
      <w:r>
        <w:t xml:space="preserve">repetitions. For each stimulus, the area of the triangle bounded by the</w:t>
      </w:r>
      <w:r>
        <w:t xml:space="preserve"> </w:t>
      </w:r>
      <w:r>
        <w:t xml:space="preserve">coordinates is calculated as follows:</w:t>
      </w:r>
      <w:r>
        <w:br/>
      </w:r>
      <m:oMath>
        <m:r>
          <m:t>A</m:t>
        </m:r>
        <m:r>
          <m:t>r</m:t>
        </m:r>
        <m:r>
          <m:t>e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1</m:t>
            </m:r>
            <m:r>
              <m:t>y</m:t>
            </m:r>
            <m:r>
              <m:t>2</m:t>
            </m:r>
            <m:r>
              <m:rPr>
                <m:sty m:val="p"/>
              </m:rPr>
              <m:t>+</m:t>
            </m:r>
            <m:r>
              <m:t>x</m:t>
            </m:r>
            <m:r>
              <m:t>2</m:t>
            </m:r>
            <m:r>
              <m:t>y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t>3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1</m:t>
            </m:r>
            <m:r>
              <m:t>y</m:t>
            </m:r>
            <m:r>
              <m:t>3</m:t>
            </m:r>
            <m:r>
              <m:rPr>
                <m:sty m:val="p"/>
              </m:rPr>
              <m:t>–</m:t>
            </m:r>
            <m:r>
              <m:t>x</m:t>
            </m:r>
            <m:r>
              <m:t>2</m:t>
            </m:r>
            <m:r>
              <m:t>y</m:t>
            </m:r>
            <m:r>
              <m:t>1</m:t>
            </m:r>
            <m:r>
              <m:rPr>
                <m:sty m:val="p"/>
              </m:rPr>
              <m:t>–</m:t>
            </m:r>
            <m:r>
              <m:t>x</m:t>
            </m:r>
            <m:r>
              <m:t>3</m:t>
            </m:r>
            <m:r>
              <m:t>y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</w:p>
    <w:bookmarkEnd w:id="49"/>
    <w:bookmarkStart w:id="50" w:name="perimeter-pixel"/>
    <w:p>
      <w:pPr>
        <w:pStyle w:val="Heading2"/>
      </w:pPr>
      <w:r>
        <w:t xml:space="preserve">Perimeter (</w:t>
      </w:r>
      <m:oMath>
        <m:r>
          <m:t>p</m:t>
        </m:r>
        <m:r>
          <m:t>i</m:t>
        </m:r>
        <m:r>
          <m:t>x</m:t>
        </m:r>
        <m:r>
          <m:t>e</m:t>
        </m:r>
        <m:r>
          <m:t>l</m:t>
        </m:r>
      </m:oMath>
      <w:r>
        <w:t xml:space="preserve">):</w:t>
      </w:r>
    </w:p>
    <w:bookmarkEnd w:id="50"/>
    <w:bookmarkEnd w:id="51"/>
    <w:bookmarkStart w:id="62" w:name="phase-i.-results-novel-features"/>
    <w:p>
      <w:pPr>
        <w:pStyle w:val="Heading1"/>
      </w:pPr>
      <w:r>
        <w:rPr>
          <w:i/>
          <w:iCs/>
        </w:rPr>
        <w:t xml:space="preserve">Phase I.</w:t>
      </w:r>
      <w:r>
        <w:t xml:space="preserve"> </w:t>
      </w:r>
      <w:r>
        <w:t xml:space="preserve">Results: Novel features</w:t>
      </w:r>
    </w:p>
    <w:bookmarkStart w:id="52" w:name="spread"/>
    <w:p>
      <w:pPr>
        <w:pStyle w:val="Heading2"/>
      </w:pPr>
      <w:r>
        <w:t xml:space="preserve">Spread</w:t>
      </w:r>
    </w:p>
    <w:bookmarkEnd w:id="52"/>
    <w:bookmarkStart w:id="53" w:name="segment-self-intersection"/>
    <w:p>
      <w:pPr>
        <w:pStyle w:val="Heading2"/>
      </w:pPr>
      <w:r>
        <w:t xml:space="preserve">Segment self-intersection</w:t>
      </w:r>
    </w:p>
    <w:p>
      <w:pPr>
        <w:pStyle w:val="FirstParagraph"/>
      </w:pPr>
      <w:r>
        <w:t xml:space="preserve">We calculated the number of self intersection for each segments</w:t>
      </w:r>
      <w:r>
        <w:t xml:space="preserve"> </w:t>
      </w:r>
      <w:r>
        <w:t xml:space="preserve">sperately for repetitions and conditions. For each participant we then</w:t>
      </w:r>
      <w:r>
        <w:t xml:space="preserve"> </w:t>
      </w:r>
      <w:r>
        <w:t xml:space="preserve">compute the average of self intersections per conditions and</w:t>
      </w:r>
      <w:r>
        <w:t xml:space="preserve"> </w:t>
      </w:r>
      <w:r>
        <w:t xml:space="preserve">repetitions.</w:t>
      </w:r>
    </w:p>
    <w:bookmarkEnd w:id="53"/>
    <w:bookmarkStart w:id="54" w:name="segments-with-sf"/>
    <w:p>
      <w:pPr>
        <w:pStyle w:val="Heading2"/>
      </w:pPr>
      <w:r>
        <w:t xml:space="preserve">Segments (with sf)</w:t>
      </w:r>
    </w:p>
    <w:p>
      <w:pPr>
        <w:pStyle w:val="FirstParagraph"/>
      </w:pPr>
      <w:r>
        <w:t xml:space="preserve">We will take advantage of 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package and connect the x and y</w:t>
      </w:r>
      <w:r>
        <w:t xml:space="preserve"> </w:t>
      </w:r>
      <w:r>
        <w:t xml:space="preserve">coordinates of ordered inducer with a segment. Sf hates NaN’s. Either</w:t>
      </w:r>
      <w:r>
        <w:t xml:space="preserve"> </w:t>
      </w:r>
      <w:r>
        <w:t xml:space="preserve">convert them to 0 (as originally) or remove them. I’ll start converting</w:t>
      </w:r>
      <w:r>
        <w:t xml:space="preserve"> </w:t>
      </w:r>
      <w:r>
        <w:t xml:space="preserve">to 0.</w:t>
      </w:r>
    </w:p>
    <w:bookmarkEnd w:id="54"/>
    <w:bookmarkStart w:id="61" w:name="polygon-based-geometries"/>
    <w:p>
      <w:pPr>
        <w:pStyle w:val="Heading2"/>
      </w:pPr>
      <w:r>
        <w:t xml:space="preserve">Polygon based geometries</w:t>
      </w:r>
    </w:p>
    <w:bookmarkStart w:id="55" w:name="polygon-area"/>
    <w:p>
      <w:pPr>
        <w:pStyle w:val="Heading3"/>
      </w:pPr>
      <w:r>
        <w:t xml:space="preserve">Polygon area</w:t>
      </w:r>
    </w:p>
    <w:bookmarkEnd w:id="55"/>
    <w:bookmarkStart w:id="56" w:name="polygon-perimeter"/>
    <w:p>
      <w:pPr>
        <w:pStyle w:val="Heading3"/>
      </w:pPr>
      <w:r>
        <w:t xml:space="preserve">Polygon perimeter</w:t>
      </w:r>
    </w:p>
    <w:bookmarkEnd w:id="56"/>
    <w:bookmarkStart w:id="57" w:name="areaperimeter"/>
    <w:p>
      <w:pPr>
        <w:pStyle w:val="Heading3"/>
      </w:pPr>
      <w:r>
        <w:t xml:space="preserve">Area/perimeter</w:t>
      </w:r>
    </w:p>
    <w:bookmarkEnd w:id="57"/>
    <w:bookmarkStart w:id="58" w:name="polygon-simplicity"/>
    <w:p>
      <w:pPr>
        <w:pStyle w:val="Heading3"/>
      </w:pPr>
      <w:r>
        <w:t xml:space="preserve">Polygon simplicity</w:t>
      </w:r>
    </w:p>
    <w:bookmarkEnd w:id="58"/>
    <w:bookmarkStart w:id="60" w:name="topological-validity-structure"/>
    <w:p>
      <w:pPr>
        <w:pStyle w:val="Heading3"/>
      </w:pPr>
      <w:r>
        <w:t xml:space="preserve">Topological validity Structure</w:t>
      </w:r>
    </w:p>
    <w:p>
      <w:pPr>
        <w:pStyle w:val="FirstParagraph"/>
      </w:pPr>
      <w:r>
        <w:t xml:space="preserve">From the package description:</w:t>
      </w:r>
      <w:r>
        <w:t xml:space="preserve"> </w:t>
      </w:r>
      <w:r>
        <w:rPr>
          <w:i/>
          <w:iCs/>
        </w:rPr>
        <w:t xml:space="preserve">“For projected geometries, st_make_valid</w:t>
      </w:r>
      <w:r>
        <w:rPr>
          <w:i/>
          <w:iCs/>
        </w:rPr>
        <w:t xml:space="preserve"> </w:t>
      </w:r>
      <w:r>
        <w:rPr>
          <w:i/>
          <w:iCs/>
        </w:rPr>
        <w:t xml:space="preserve">uses the lwgeom_makevalid method also used by the PostGIS command</w:t>
      </w:r>
      <w:r>
        <w:rPr>
          <w:i/>
          <w:iCs/>
        </w:rPr>
        <w:t xml:space="preserve"> </w:t>
      </w:r>
      <w:r>
        <w:rPr>
          <w:i/>
          <w:iCs/>
        </w:rPr>
        <w:t xml:space="preserve">ST_makevalid if the GEOS version linked to is smaller than 3.8.0, and</w:t>
      </w:r>
      <w:r>
        <w:rPr>
          <w:i/>
          <w:iCs/>
        </w:rPr>
        <w:t xml:space="preserve"> </w:t>
      </w:r>
      <w:r>
        <w:rPr>
          <w:i/>
          <w:iCs/>
        </w:rPr>
        <w:t xml:space="preserve">otherwise the version shipped in GEOS; for geometries having ellipsoidal</w:t>
      </w:r>
      <w:r>
        <w:rPr>
          <w:i/>
          <w:iCs/>
        </w:rPr>
        <w:t xml:space="preserve"> </w:t>
      </w:r>
      <w:r>
        <w:rPr>
          <w:i/>
          <w:iCs/>
        </w:rPr>
        <w:t xml:space="preserve">coordinates s2::s2_rebuild is being used.”</w:t>
      </w:r>
      <w:r>
        <w:t xml:space="preserve"> </w:t>
      </w: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https://postgis.net/docs/ST_IsValid.html</w:t>
        </w:r>
      </w:hyperlink>
      <w:r>
        <w:t xml:space="preserve">:</w:t>
      </w:r>
      <w:r>
        <w:t xml:space="preserve"> </w:t>
      </w:r>
      <w:r>
        <w:rPr>
          <w:i/>
          <w:iCs/>
        </w:rPr>
        <w:t xml:space="preserve">value is well-formed and</w:t>
      </w:r>
      <w:r>
        <w:rPr>
          <w:i/>
          <w:iCs/>
        </w:rPr>
        <w:t xml:space="preserve"> </w:t>
      </w:r>
      <w:r>
        <w:rPr>
          <w:i/>
          <w:iCs/>
        </w:rPr>
        <w:t xml:space="preserve">valid in 2D according to the OGC rules.</w:t>
      </w:r>
      <w:r>
        <w:t xml:space="preserve"> </w:t>
      </w:r>
      <w:r>
        <w:t xml:space="preserve">(Open Geopsatial Consotrtium)</w:t>
      </w:r>
    </w:p>
    <w:bookmarkEnd w:id="60"/>
    <w:bookmarkEnd w:id="61"/>
    <w:bookmarkEnd w:id="62"/>
    <w:bookmarkStart w:id="63" w:name="permutations"/>
    <w:p>
      <w:pPr>
        <w:pStyle w:val="Heading1"/>
      </w:pPr>
      <w:r>
        <w:t xml:space="preserve">Permutations</w:t>
      </w:r>
    </w:p>
    <w:p>
      <w:pPr>
        <w:pStyle w:val="FirstParagraph"/>
      </w:pPr>
      <w:r>
        <w:t xml:space="preserve">Until now the form based features are computed by chronologically</w:t>
      </w:r>
      <w:r>
        <w:t xml:space="preserve"> </w:t>
      </w:r>
      <w:r>
        <w:t xml:space="preserve">ordered repetitions. For example, Monday is repeated three times per ID.</w:t>
      </w:r>
      <w:r>
        <w:t xml:space="preserve"> </w:t>
      </w:r>
      <w:r>
        <w:t xml:space="preserve">The coordinates for Monday presented the first time will always be used</w:t>
      </w:r>
      <w:r>
        <w:t xml:space="preserve"> </w:t>
      </w:r>
      <w:r>
        <w:t xml:space="preserve">to form the segment/polygon with the Tuesday presented the first time.</w:t>
      </w:r>
      <w:r>
        <w:t xml:space="preserve"> </w:t>
      </w:r>
      <w:r>
        <w:t xml:space="preserve">However, for consistency, this should be independent from chronological</w:t>
      </w:r>
      <w:r>
        <w:t xml:space="preserve"> </w:t>
      </w:r>
      <w:r>
        <w:t xml:space="preserve">order. To circumvent this, we can permute the repetitions per</w:t>
      </w:r>
      <w:r>
        <w:t xml:space="preserve"> </w:t>
      </w:r>
      <w:r>
        <w:t xml:space="preserve">conditions. I predict the permuted averages of the same features should</w:t>
      </w:r>
      <w:r>
        <w:t xml:space="preserve"> </w:t>
      </w:r>
      <w:r>
        <w:t xml:space="preserve">give rise to better AUC. Since these are time consuming I will only</w:t>
      </w:r>
      <w:r>
        <w:t xml:space="preserve"> </w:t>
      </w:r>
      <w:r>
        <w:t xml:space="preserve">apply permutations on the criteria that are at stake:</w:t>
      </w:r>
      <w:r>
        <w:br/>
      </w:r>
      <w:r>
        <w:t xml:space="preserve">topological validity.</w:t>
      </w:r>
    </w:p>
    <w:bookmarkEnd w:id="63"/>
    <w:bookmarkStart w:id="64" w:name="combine-valid-and-area-criteria"/>
    <w:p>
      <w:pPr>
        <w:pStyle w:val="Heading1"/>
      </w:pPr>
      <w:r>
        <w:t xml:space="preserve">Combine valid and area criteria</w:t>
      </w:r>
    </w:p>
    <w:p>
      <w:pPr>
        <w:pStyle w:val="FirstParagraph"/>
      </w:pPr>
      <w:r>
        <w:t xml:space="preserve">What if we combined consistency and permuted topological validity?</w:t>
      </w:r>
    </w:p>
    <w:bookmarkEnd w:id="64"/>
    <w:bookmarkStart w:id="66" w:name="correlations"/>
    <w:p>
      <w:pPr>
        <w:pStyle w:val="Heading1"/>
      </w:pPr>
      <w:r>
        <w:t xml:space="preserve">Correlations</w:t>
      </w:r>
    </w:p>
    <w:bookmarkStart w:id="65" w:name="permute-correlations"/>
    <w:p>
      <w:pPr>
        <w:pStyle w:val="Heading2"/>
      </w:pPr>
      <w:r>
        <w:t xml:space="preserve">Permute correlations</w:t>
      </w:r>
    </w:p>
    <w:bookmarkEnd w:id="65"/>
    <w:bookmarkEnd w:id="66"/>
    <w:bookmarkStart w:id="68" w:name="compare-all-features"/>
    <w:p>
      <w:pPr>
        <w:pStyle w:val="Heading1"/>
      </w:pPr>
      <w:r>
        <w:t xml:space="preserve">Compare all features:</w:t>
      </w:r>
    </w:p>
    <w:bookmarkStart w:id="67" w:name="compute-all-roc"/>
    <w:p>
      <w:pPr>
        <w:pStyle w:val="Heading2"/>
      </w:pPr>
      <w:r>
        <w:t xml:space="preserve">Compute all ROC</w:t>
      </w:r>
    </w:p>
    <w:bookmarkEnd w:id="67"/>
    <w:bookmarkEnd w:id="68"/>
    <w:bookmarkStart w:id="79" w:name="summaries"/>
    <w:p>
      <w:pPr>
        <w:pStyle w:val="Heading1"/>
      </w:pPr>
      <w:r>
        <w:t xml:space="preserve">Summaries</w:t>
      </w:r>
    </w:p>
    <w:bookmarkStart w:id="69" w:name="summary-table"/>
    <w:p>
      <w:pPr>
        <w:pStyle w:val="Heading2"/>
      </w:pPr>
      <w:r>
        <w:t xml:space="preserve">Summary table:</w:t>
      </w:r>
    </w:p>
    <w:p>
      <w:pPr>
        <w:pStyle w:val="TableCaption"/>
      </w:pPr>
      <w:r>
        <w:t xml:space="preserve">(#tab:summaryROC)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(#tab:summaryROC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GLMValid_area_zs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triangle_perim_GA_zs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Corr_Med_perm_ID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isValidStruct_GA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areatoPerim_GA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SelfInter_persegm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rep_area_GAzs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areaPoly_GA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isSimple_GA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M_spread_x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M_corr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rep_area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2,338.97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perim_GA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43.69</w:t>
            </w:r>
          </w:p>
        </w:tc>
      </w:tr>
    </w:tbl>
    <w:bookmarkEnd w:id="69"/>
    <w:bookmarkStart w:id="73" w:name="summary-plot"/>
    <w:p>
      <w:pPr>
        <w:pStyle w:val="Heading2"/>
      </w:pPr>
      <w:r>
        <w:t xml:space="preserve">Summary 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2.Pre-registeredReport_V7_mini_files/figure-docx/summaryplot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phase-ii-methods"/>
    <w:p>
      <w:pPr>
        <w:pStyle w:val="Heading2"/>
      </w:pPr>
      <w:r>
        <w:rPr>
          <w:i/>
          <w:iCs/>
        </w:rPr>
        <w:t xml:space="preserve">Phase II</w:t>
      </w:r>
      <w:r>
        <w:t xml:space="preserve"> </w:t>
      </w:r>
      <w:r>
        <w:t xml:space="preserve">Methods</w:t>
      </w:r>
    </w:p>
    <w:bookmarkEnd w:id="74"/>
    <w:bookmarkStart w:id="76" w:name="phase-ii-materials"/>
    <w:p>
      <w:pPr>
        <w:pStyle w:val="Heading2"/>
      </w:pPr>
      <w:r>
        <w:rPr>
          <w:i/>
          <w:iCs/>
        </w:rPr>
        <w:t xml:space="preserve">Phase II</w:t>
      </w:r>
      <w:r>
        <w:t xml:space="preserve"> </w:t>
      </w:r>
      <w:r>
        <w:t xml:space="preserve">Materials:</w:t>
      </w:r>
    </w:p>
    <w:p>
      <w:pPr>
        <w:pStyle w:val="FirstParagraph"/>
      </w:pPr>
      <w:r>
        <w:t xml:space="preserve">Materials are described here</w:t>
      </w:r>
      <w:r>
        <w:t xml:space="preserve"> </w:t>
      </w:r>
      <w:hyperlink r:id="rId75">
        <w:r>
          <w:rPr>
            <w:rStyle w:val="Hyperlink"/>
          </w:rPr>
          <w:t xml:space="preserve">https://osf.io/pjb6e/?view_only=d467ebf4c1f94076ae4ac61298255065</w:t>
        </w:r>
      </w:hyperlink>
      <w:r>
        <w:t xml:space="preserve">.</w:t>
      </w:r>
    </w:p>
    <w:bookmarkEnd w:id="76"/>
    <w:bookmarkStart w:id="78" w:name="phase-ii-planned-population"/>
    <w:p>
      <w:pPr>
        <w:pStyle w:val="Heading2"/>
      </w:pPr>
      <w:r>
        <w:rPr>
          <w:i/>
          <w:iCs/>
        </w:rPr>
        <w:t xml:space="preserve">Phase II</w:t>
      </w:r>
      <w:r>
        <w:t xml:space="preserve"> </w:t>
      </w:r>
      <w:r>
        <w:t xml:space="preserve">Planned population</w:t>
      </w:r>
    </w:p>
    <w:p>
      <w:pPr>
        <w:pStyle w:val="FirstParagraph"/>
      </w:pPr>
      <w:hyperlink r:id="rId77">
        <w:r>
          <w:rPr>
            <w:rStyle w:val="Hyperlink"/>
            <w:b/>
            <w:bCs/>
          </w:rPr>
          <w:t xml:space="preserve">https://osf.io/6h8dx</w:t>
        </w:r>
      </w:hyperlink>
    </w:p>
    <w:bookmarkEnd w:id="78"/>
    <w:bookmarkEnd w:id="79"/>
    <w:bookmarkStart w:id="8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From the different features we extracted, topological validity across</w:t>
      </w:r>
      <w:r>
        <w:t xml:space="preserve"> </w:t>
      </w:r>
      <w:r>
        <w:t xml:space="preserve">the repetitions appeared to be the one leading to the largest Area Under</w:t>
      </w:r>
      <w:r>
        <w:t xml:space="preserve"> </w:t>
      </w:r>
      <w:r>
        <w:t xml:space="preserve">the Curve. The optimal cutoff was exactly 1.5, leading to a sensitivity</w:t>
      </w:r>
      <w:r>
        <w:t xml:space="preserve"> </w:t>
      </w:r>
      <w:r>
        <w:t xml:space="preserve">() and specificity ().</w:t>
      </w:r>
    </w:p>
    <w:p>
      <w:pPr>
        <w:pStyle w:val="BodyText"/>
      </w:pPr>
      <w:r>
        <w:t xml:space="preserve">The optimal criterion ineeds to be informed about the order between</w:t>
      </w:r>
      <w:r>
        <w:t xml:space="preserve"> </w:t>
      </w:r>
      <w:r>
        <w:t xml:space="preserve">inducers (i.e. to construct the polygons) and interestingly suggests</w:t>
      </w:r>
      <w:r>
        <w:t xml:space="preserve"> </w:t>
      </w:r>
      <w:r>
        <w:t xml:space="preserve">that synthetic inducer are structurally mapped following topological</w:t>
      </w:r>
      <w:r>
        <w:t xml:space="preserve"> </w:t>
      </w:r>
      <w:r>
        <w:t xml:space="preserve">rules analogous to geographical space structures. Hence suggesting a</w:t>
      </w:r>
      <w:r>
        <w:t xml:space="preserve"> </w:t>
      </w:r>
      <w:r>
        <w:t xml:space="preserve">spatial nature for the synthetic forms of space sequence synesthetes.</w:t>
      </w:r>
    </w:p>
    <w:p>
      <w:pPr>
        <w:pStyle w:val="BodyText"/>
      </w:pPr>
      <w:r>
        <w:t xml:space="preserve">Although an optimal tool to discriminate SSS might be particularly</w:t>
      </w:r>
      <w:r>
        <w:t xml:space="preserve"> </w:t>
      </w:r>
      <w:r>
        <w:t xml:space="preserve">relevant for experimental purposes, it is important to consider some</w:t>
      </w:r>
      <w:r>
        <w:t xml:space="preserve"> </w:t>
      </w:r>
      <w:r>
        <w:t xml:space="preserve">limitations. These consistency tools are designed with a limited set of</w:t>
      </w:r>
      <w:r>
        <w:t xml:space="preserve"> </w:t>
      </w:r>
      <w:r>
        <w:t xml:space="preserve">sequential stimuli (i.e. months, weeks and the first ten natural</w:t>
      </w:r>
      <w:r>
        <w:t xml:space="preserve"> </w:t>
      </w:r>
      <w:r>
        <w:t xml:space="preserve">numbers).</w:t>
      </w:r>
      <w:r>
        <w:t xml:space="preserve"> </w:t>
      </w:r>
      <w:r>
        <w:t xml:space="preserve"> </w:t>
      </w:r>
      <w:r>
        <w:t xml:space="preserve">Other sequences might also be represented</w:t>
      </w:r>
      <w:r>
        <w:t xml:space="preserve"> </w:t>
      </w:r>
      <w:r>
        <w:t xml:space="preserve">in particular spatial positions such as temperature, ect.</w:t>
      </w:r>
      <w:r>
        <w:t xml:space="preserve"> </w:t>
      </w:r>
      <w:r>
        <w:t xml:space="preserve"> </w:t>
      </w:r>
      <w:r>
        <w:t xml:space="preserve">Another point is that rather than categorical,</w:t>
      </w:r>
      <w:r>
        <w:t xml:space="preserve"> </w:t>
      </w:r>
      <w:r>
        <w:t xml:space="preserve">synesthesia might be present on a continuum in the general population.</w:t>
      </w:r>
      <w:r>
        <w:t xml:space="preserve"> </w:t>
      </w:r>
      <w:r>
        <w:t xml:space="preserve">In that case diagnostic cutoffs might not be relevant, rather a score</w:t>
      </w:r>
      <w:r>
        <w:t xml:space="preserve"> </w:t>
      </w:r>
      <w:r>
        <w:t xml:space="preserve">would be necessary.</w:t>
      </w:r>
      <w:r>
        <w:t xml:space="preserve"> </w:t>
      </w:r>
      <w:r>
        <w:t xml:space="preserve"> </w:t>
      </w:r>
      <w:r>
        <w:t xml:space="preserve">Finally, there might also be an</w:t>
      </w:r>
      <w:r>
        <w:t xml:space="preserve"> </w:t>
      </w:r>
      <w:r>
        <w:t xml:space="preserve">issue of circularity - as with many diagnostics : how synesthesia is</w:t>
      </w:r>
      <w:r>
        <w:t xml:space="preserve"> </w:t>
      </w:r>
      <w:r>
        <w:t xml:space="preserve">defined determines how synestetes are detected which are the groups on</w:t>
      </w:r>
      <w:r>
        <w:t xml:space="preserve"> </w:t>
      </w:r>
      <w:r>
        <w:t xml:space="preserve">which synesthesia is defined.</w:t>
      </w:r>
      <w:r>
        <w:t xml:space="preserve"> </w:t>
      </w:r>
      <w:r>
        <w:t xml:space="preserve"> </w:t>
      </w:r>
      <w:r>
        <w:t xml:space="preserve">This is</w:t>
      </w:r>
      <w:r>
        <w:t xml:space="preserve"> </w:t>
      </w:r>
      <w:r>
        <w:t xml:space="preserve">particularly relevant when the two diagnostic criteria on which validity</w:t>
      </w:r>
      <w:r>
        <w:t xml:space="preserve"> </w:t>
      </w:r>
      <w:r>
        <w:t xml:space="preserve">are compared are self-reports (i.e. being conscious) and consistency.</w:t>
      </w:r>
    </w:p>
    <w:p>
      <w:pPr>
        <w:pStyle w:val="BodyText"/>
      </w:pPr>
      <w:r>
        <w:t xml:space="preserve">Overlapping responses. A methodological issue concerns participants that</w:t>
      </w:r>
      <w:r>
        <w:t xml:space="preserve"> </w:t>
      </w:r>
      <w:r>
        <w:t xml:space="preserve">give the same responses across conditions. These responses are a</w:t>
      </w:r>
      <w:r>
        <w:t xml:space="preserve"> </w:t>
      </w:r>
      <w:r>
        <w:t xml:space="preserve">complication since we can’t infer whether those conditions did not give</w:t>
      </w:r>
      <w:r>
        <w:t xml:space="preserve"> </w:t>
      </w:r>
      <w:r>
        <w:t xml:space="preserve">rise to a synesthetic response in a synthesete or whether it is from a</w:t>
      </w:r>
      <w:r>
        <w:t xml:space="preserve"> </w:t>
      </w:r>
      <w:r>
        <w:t xml:space="preserve">control that was confused about the instructions. On a methodological</w:t>
      </w:r>
      <w:r>
        <w:t xml:space="preserve"> </w:t>
      </w:r>
      <w:r>
        <w:t xml:space="preserve">level, those responses can critically bias the diagnostic criteria. On</w:t>
      </w:r>
      <w:r>
        <w:t xml:space="preserve"> </w:t>
      </w:r>
      <w:r>
        <w:t xml:space="preserve">one side excluding those responses would imbalance the number of</w:t>
      </w:r>
      <w:r>
        <w:t xml:space="preserve"> </w:t>
      </w:r>
      <w:r>
        <w:t xml:space="preserve">responses by participant, on the other side including these responses</w:t>
      </w:r>
      <w:r>
        <w:t xml:space="preserve"> </w:t>
      </w:r>
      <w:r>
        <w:t xml:space="preserve">might bias the diagnostic.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</w:t>
      </w:r>
      <w:hyperlink w:anchor="ref-root2025">
        <w:r>
          <w:rPr>
            <w:rStyle w:val="Hyperlink"/>
          </w:rPr>
          <w:t xml:space="preserve">Root et al., 2025</w:t>
        </w:r>
      </w:hyperlink>
      <w:r>
        <w:t xml:space="preserve">)</w:t>
      </w:r>
      <w:r>
        <w:t xml:space="preserve">.</w:t>
      </w:r>
    </w:p>
    <w:bookmarkEnd w:id="80"/>
    <w:bookmarkStart w:id="113" w:name="references"/>
    <w:p>
      <w:pPr>
        <w:pStyle w:val="Heading1"/>
      </w:pPr>
      <w:r>
        <w:t xml:space="preserve">References</w:t>
      </w:r>
    </w:p>
    <w:bookmarkStart w:id="112" w:name="refs"/>
    <w:bookmarkStart w:id="82" w:name="ref-brang2013"/>
    <w:p>
      <w:pPr>
        <w:pStyle w:val="Bibliography"/>
      </w:pPr>
      <w:r>
        <w:t xml:space="preserve">Brang, D., Miller, L. E., McQuire, M., Ramachandran, V. S., &amp; Coulson, S. (2013). Enhanced mental rotation ability in time-space synesthesia.</w:t>
      </w:r>
      <w:r>
        <w:t xml:space="preserve"> </w:t>
      </w:r>
      <w:r>
        <w:rPr>
          <w:i/>
          <w:iCs/>
        </w:rPr>
        <w:t xml:space="preserve">Cognitive Processing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(4), 429–434.</w:t>
      </w:r>
      <w:r>
        <w:t xml:space="preserve"> </w:t>
      </w:r>
      <w:hyperlink r:id="rId81">
        <w:r>
          <w:rPr>
            <w:rStyle w:val="Hyperlink"/>
          </w:rPr>
          <w:t xml:space="preserve">https://doi.org/10.1007/s10339-013-0561-5</w:t>
        </w:r>
      </w:hyperlink>
    </w:p>
    <w:bookmarkEnd w:id="82"/>
    <w:bookmarkStart w:id="84" w:name="ref-deroy2013"/>
    <w:p>
      <w:pPr>
        <w:pStyle w:val="Bibliography"/>
      </w:pPr>
      <w:r>
        <w:t xml:space="preserve">Deroy, O., &amp; Spence, C. (2013). Why we are not all synesthetes (not even weakly so).</w:t>
      </w:r>
      <w:r>
        <w:t xml:space="preserve"> </w:t>
      </w:r>
      <w:r>
        <w:rPr>
          <w:i/>
          <w:iCs/>
        </w:rPr>
        <w:t xml:space="preserve">Psychonomic Bulletin &amp;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(4), 643–664.</w:t>
      </w:r>
      <w:r>
        <w:t xml:space="preserve"> </w:t>
      </w:r>
      <w:hyperlink r:id="rId83">
        <w:r>
          <w:rPr>
            <w:rStyle w:val="Hyperlink"/>
          </w:rPr>
          <w:t xml:space="preserve">https://doi.org/10.3758/s13423-013-0387-2</w:t>
        </w:r>
      </w:hyperlink>
    </w:p>
    <w:bookmarkEnd w:id="84"/>
    <w:bookmarkStart w:id="86" w:name="ref-galton1880"/>
    <w:p>
      <w:pPr>
        <w:pStyle w:val="Bibliography"/>
      </w:pPr>
      <w:r>
        <w:t xml:space="preserve">Galton, F. (1880). Visualised Numerals.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(533), 252–256.</w:t>
      </w:r>
      <w:r>
        <w:t xml:space="preserve"> </w:t>
      </w:r>
      <w:hyperlink r:id="rId85">
        <w:r>
          <w:rPr>
            <w:rStyle w:val="Hyperlink"/>
          </w:rPr>
          <w:t xml:space="preserve">https://doi.org/10.1038/021252a0</w:t>
        </w:r>
      </w:hyperlink>
    </w:p>
    <w:bookmarkEnd w:id="86"/>
    <w:bookmarkStart w:id="88" w:name="ref-pebesma2018"/>
    <w:p>
      <w:pPr>
        <w:pStyle w:val="Bibliography"/>
      </w:pPr>
      <w:r>
        <w:t xml:space="preserve">Pebesma, E. (2018). Simple Features for R: Standardized Support for Spatial Vector Data.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(1), 439–446.</w:t>
      </w:r>
      <w:r>
        <w:t xml:space="preserve"> </w:t>
      </w:r>
      <w:hyperlink r:id="rId87">
        <w:r>
          <w:rPr>
            <w:rStyle w:val="Hyperlink"/>
          </w:rPr>
          <w:t xml:space="preserve">https://doi.org/10.32614/RJ-2018-009</w:t>
        </w:r>
      </w:hyperlink>
    </w:p>
    <w:bookmarkEnd w:id="88"/>
    <w:bookmarkStart w:id="90" w:name="ref-piazza2006"/>
    <w:p>
      <w:pPr>
        <w:pStyle w:val="Bibliography"/>
      </w:pPr>
      <w:r>
        <w:t xml:space="preserve">Piazza, M., Pinel, P., &amp; Dehaene, S. (2006). Objective correlates of an unusual subjective experience: A single-case study of number</w:t>
      </w:r>
      <w:r>
        <w:t xml:space="preserve">form synaesthesia.</w:t>
      </w:r>
      <w:r>
        <w:t xml:space="preserve"> </w:t>
      </w:r>
      <w:r>
        <w:rPr>
          <w:i/>
          <w:iCs/>
        </w:rPr>
        <w:t xml:space="preserve">Cognitive Neuropsychology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(8), 1162–1173.</w:t>
      </w:r>
      <w:r>
        <w:t xml:space="preserve"> </w:t>
      </w:r>
      <w:hyperlink r:id="rId89">
        <w:r>
          <w:rPr>
            <w:rStyle w:val="Hyperlink"/>
          </w:rPr>
          <w:t xml:space="preserve">https://doi.org/10.1080/02643290600780080</w:t>
        </w:r>
      </w:hyperlink>
    </w:p>
    <w:bookmarkEnd w:id="90"/>
    <w:bookmarkStart w:id="92" w:name="ref-root2021"/>
    <w:p>
      <w:pPr>
        <w:pStyle w:val="Bibliography"/>
      </w:pPr>
      <w:r>
        <w:t xml:space="preserve">Root, N., Asano, M., Melero, H., Kim, C.-Y., Sidoroff-Dorso, A. V., Vatakis, A., Yokosawa, K., Ramachandran, V., &amp; Rouw, R. (2021). Do the colors of your letters depend on your language? Language-dependent and universal influences on grapheme-color synesthesia in seven languages.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95</w:t>
      </w:r>
      <w:r>
        <w:t xml:space="preserve">, 103192.</w:t>
      </w:r>
      <w:r>
        <w:t xml:space="preserve"> </w:t>
      </w:r>
      <w:hyperlink r:id="rId91">
        <w:r>
          <w:rPr>
            <w:rStyle w:val="Hyperlink"/>
          </w:rPr>
          <w:t xml:space="preserve">https://doi.org/10.1016/j.concog.2021.103192</w:t>
        </w:r>
      </w:hyperlink>
    </w:p>
    <w:bookmarkEnd w:id="92"/>
    <w:bookmarkStart w:id="94" w:name="ref-root2025"/>
    <w:p>
      <w:pPr>
        <w:pStyle w:val="Bibliography"/>
      </w:pPr>
      <w:r>
        <w:t xml:space="preserve">Root, N., Chkhaidze, A., Melero, H., Sidoroff-Dorso, A., Volberg, G., Zhang, Y., &amp; Rouw, R. (2025). How</w:t>
      </w:r>
      <w:r>
        <w:t xml:space="preserve"> </w:t>
      </w:r>
      <w:r>
        <w:t xml:space="preserve">“</w:t>
      </w:r>
      <w:r>
        <w:t xml:space="preserve">diagnostic</w:t>
      </w:r>
      <w:r>
        <w:t xml:space="preserve">”</w:t>
      </w:r>
      <w:r>
        <w:t xml:space="preserve"> </w:t>
      </w:r>
      <w:r>
        <w:t xml:space="preserve">criteria interact to shape synesthetic behavior: The role of self-report and test</w:t>
      </w:r>
      <w:r>
        <w:t xml:space="preserve">retest consistency in synesthesia research.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129</w:t>
      </w:r>
      <w:r>
        <w:t xml:space="preserve">, 103819.</w:t>
      </w:r>
      <w:r>
        <w:t xml:space="preserve"> </w:t>
      </w:r>
      <w:hyperlink r:id="rId93">
        <w:r>
          <w:rPr>
            <w:rStyle w:val="Hyperlink"/>
          </w:rPr>
          <w:t xml:space="preserve">https://doi.org/10.1016/j.concog.2025.103819</w:t>
        </w:r>
      </w:hyperlink>
    </w:p>
    <w:bookmarkEnd w:id="94"/>
    <w:bookmarkStart w:id="96" w:name="ref-rothen2016"/>
    <w:p>
      <w:pPr>
        <w:pStyle w:val="Bibliography"/>
      </w:pPr>
      <w:r>
        <w:t xml:space="preserve">Rothen, N., Jünemann, K., Mealor, A. D., Burckhardt, V., &amp; Ward, J. (2016). The sensitivity and specificity of a diagnostic test of sequence-space synesthesia.</w:t>
      </w:r>
      <w:r>
        <w:t xml:space="preserve"> </w:t>
      </w:r>
      <w:r>
        <w:rPr>
          <w:i/>
          <w:iCs/>
        </w:rPr>
        <w:t xml:space="preserve">Behavior Research Methods</w:t>
      </w:r>
      <w:r>
        <w:t xml:space="preserve">,</w:t>
      </w:r>
      <w:r>
        <w:t xml:space="preserve"> </w:t>
      </w:r>
      <w:r>
        <w:rPr>
          <w:i/>
          <w:iCs/>
        </w:rPr>
        <w:t xml:space="preserve">48</w:t>
      </w:r>
      <w:r>
        <w:t xml:space="preserve">(4), 1476–1481.</w:t>
      </w:r>
      <w:r>
        <w:t xml:space="preserve"> </w:t>
      </w:r>
      <w:hyperlink r:id="rId95">
        <w:r>
          <w:rPr>
            <w:rStyle w:val="Hyperlink"/>
          </w:rPr>
          <w:t xml:space="preserve">https://doi.org/10.3758/s13428-015-0656-2</w:t>
        </w:r>
      </w:hyperlink>
    </w:p>
    <w:bookmarkEnd w:id="96"/>
    <w:bookmarkStart w:id="98" w:name="ref-rothen2013"/>
    <w:p>
      <w:pPr>
        <w:pStyle w:val="Bibliography"/>
      </w:pPr>
      <w:r>
        <w:t xml:space="preserve">Rothen, N., Seth, A. K., Witzel, C., &amp; Ward, J. (2013b). Diagnosing synaesthesia with online colour pickers: Maximising sensitivity and specificity.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</w:t>
      </w:r>
      <w:r>
        <w:t xml:space="preserve"> </w:t>
      </w:r>
      <w:r>
        <w:rPr>
          <w:i/>
          <w:iCs/>
        </w:rPr>
        <w:t xml:space="preserve">215</w:t>
      </w:r>
      <w:r>
        <w:t xml:space="preserve">(1), 156–160.</w:t>
      </w:r>
      <w:r>
        <w:t xml:space="preserve"> </w:t>
      </w:r>
      <w:hyperlink r:id="rId97">
        <w:r>
          <w:rPr>
            <w:rStyle w:val="Hyperlink"/>
          </w:rPr>
          <w:t xml:space="preserve">https://doi.org/10.1016/j.jneumeth.2013.02.009</w:t>
        </w:r>
      </w:hyperlink>
    </w:p>
    <w:bookmarkEnd w:id="98"/>
    <w:bookmarkStart w:id="99" w:name="ref-rothen2013a"/>
    <w:p>
      <w:pPr>
        <w:pStyle w:val="Bibliography"/>
      </w:pPr>
      <w:r>
        <w:t xml:space="preserve">Rothen, N., Seth, A. K., Witzel, C., &amp; Ward, J. (2013a). Diagnosing synaesthesia with online colour pickers: Maximising sensitivity and specificity.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</w:t>
      </w:r>
      <w:r>
        <w:t xml:space="preserve"> </w:t>
      </w:r>
      <w:r>
        <w:rPr>
          <w:i/>
          <w:iCs/>
        </w:rPr>
        <w:t xml:space="preserve">215</w:t>
      </w:r>
      <w:r>
        <w:t xml:space="preserve">(1), 156–160.</w:t>
      </w:r>
      <w:r>
        <w:t xml:space="preserve"> </w:t>
      </w:r>
      <w:hyperlink r:id="rId97">
        <w:r>
          <w:rPr>
            <w:rStyle w:val="Hyperlink"/>
          </w:rPr>
          <w:t xml:space="preserve">https://doi.org/10.1016/j.jneumeth.2013.02.009</w:t>
        </w:r>
      </w:hyperlink>
    </w:p>
    <w:bookmarkEnd w:id="99"/>
    <w:bookmarkStart w:id="101" w:name="ref-sagiv2006"/>
    <w:p>
      <w:pPr>
        <w:pStyle w:val="Bibliography"/>
      </w:pPr>
      <w:r>
        <w:t xml:space="preserve">Sagiv, N., Simner, J., Collins, J., Butterworth, B., &amp; Ward, J. (2006). What is the relationship between synaesthesia and visuo-spatial number forms?</w:t>
      </w:r>
      <w:r>
        <w:t xml:space="preserve"> </w:t>
      </w:r>
      <w:r>
        <w:rPr>
          <w:i/>
          <w:iCs/>
        </w:rPr>
        <w:t xml:space="preserve">Cognition</w:t>
      </w:r>
      <w:r>
        <w:t xml:space="preserve">,</w:t>
      </w:r>
      <w:r>
        <w:t xml:space="preserve"> </w:t>
      </w:r>
      <w:r>
        <w:rPr>
          <w:i/>
          <w:iCs/>
        </w:rPr>
        <w:t xml:space="preserve">101</w:t>
      </w:r>
      <w:r>
        <w:t xml:space="preserve">(1), 114–128.</w:t>
      </w:r>
      <w:r>
        <w:t xml:space="preserve"> </w:t>
      </w:r>
      <w:hyperlink r:id="rId100">
        <w:r>
          <w:rPr>
            <w:rStyle w:val="Hyperlink"/>
          </w:rPr>
          <w:t xml:space="preserve">https://doi.org/10.1016/j.cognition.2005.09.004</w:t>
        </w:r>
      </w:hyperlink>
    </w:p>
    <w:bookmarkEnd w:id="101"/>
    <w:bookmarkStart w:id="103" w:name="ref-seron1992"/>
    <w:p>
      <w:pPr>
        <w:pStyle w:val="Bibliography"/>
      </w:pPr>
      <w:r>
        <w:t xml:space="preserve">Seron, X., Pesenti, M., Noël, M.-P., Deloche, G., &amp; Cornet, J.-A. (1992). Images of numbers, or</w:t>
      </w:r>
      <w:r>
        <w:t xml:space="preserve"> </w:t>
      </w:r>
      <w:r>
        <w:t xml:space="preserve">“</w:t>
      </w:r>
      <w:r>
        <w:t xml:space="preserve">when 98 is upper left and 6 sky blue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Cognition</w:t>
      </w:r>
      <w:r>
        <w:t xml:space="preserve">,</w:t>
      </w:r>
      <w:r>
        <w:t xml:space="preserve"> </w:t>
      </w:r>
      <w:r>
        <w:rPr>
          <w:i/>
          <w:iCs/>
        </w:rPr>
        <w:t xml:space="preserve">44</w:t>
      </w:r>
      <w:r>
        <w:t xml:space="preserve">(1), 159–196.</w:t>
      </w:r>
      <w:r>
        <w:t xml:space="preserve"> </w:t>
      </w:r>
      <w:hyperlink r:id="rId102">
        <w:r>
          <w:rPr>
            <w:rStyle w:val="Hyperlink"/>
          </w:rPr>
          <w:t xml:space="preserve">https://doi.org/10.1016/0010-0277(92)90053-K</w:t>
        </w:r>
      </w:hyperlink>
    </w:p>
    <w:bookmarkEnd w:id="103"/>
    <w:bookmarkStart w:id="105" w:name="ref-vanpetersen2020"/>
    <w:p>
      <w:pPr>
        <w:pStyle w:val="Bibliography"/>
      </w:pPr>
      <w:r>
        <w:t xml:space="preserve">Van Petersen, E., Altgassen, M., Van Lier, R., &amp; Van Leeuwen, T. M. (2020b).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04">
        <w:r>
          <w:rPr>
            <w:rStyle w:val="Hyperlink"/>
          </w:rPr>
          <w:t xml:space="preserve">https://doi.org/10.1016/j.cortex.2020.04.034</w:t>
        </w:r>
      </w:hyperlink>
    </w:p>
    <w:bookmarkEnd w:id="105"/>
    <w:bookmarkStart w:id="106" w:name="ref-vanpetersen2020a"/>
    <w:p>
      <w:pPr>
        <w:pStyle w:val="Bibliography"/>
      </w:pPr>
      <w:r>
        <w:t xml:space="preserve">Van Petersen, E., Altgassen, M., Van Lier, R., &amp; Van Leeuwen, T. M. (2020a). Enhanced spatial navigation skills in sequence-space synesthetes.</w:t>
      </w:r>
      <w:r>
        <w:t xml:space="preserve"> </w:t>
      </w:r>
      <w:r>
        <w:rPr>
          <w:i/>
          <w:iCs/>
        </w:rPr>
        <w:t xml:space="preserve">Cortex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, 49–63.</w:t>
      </w:r>
      <w:r>
        <w:t xml:space="preserve"> </w:t>
      </w:r>
      <w:hyperlink r:id="rId104">
        <w:r>
          <w:rPr>
            <w:rStyle w:val="Hyperlink"/>
          </w:rPr>
          <w:t xml:space="preserve">https://doi.org/10.1016/j.cortex.2020.04.034</w:t>
        </w:r>
      </w:hyperlink>
    </w:p>
    <w:bookmarkEnd w:id="106"/>
    <w:bookmarkStart w:id="108" w:name="ref-ward"/>
    <w:p>
      <w:pPr>
        <w:pStyle w:val="Bibliography"/>
      </w:pPr>
      <w:r>
        <w:t xml:space="preserve">Ward, J. (n.d.-a).</w:t>
      </w:r>
      <w:r>
        <w:t xml:space="preserve"> </w:t>
      </w:r>
      <w:r>
        <w:rPr>
          <w:i/>
          <w:iCs/>
        </w:rPr>
        <w:t xml:space="preserve">Optimizing a Measure of Consistency for Sequence-Space Synaesthesia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https://doi.org/10.31234/osf.io/5cnr7</w:t>
        </w:r>
      </w:hyperlink>
    </w:p>
    <w:bookmarkEnd w:id="108"/>
    <w:bookmarkStart w:id="109" w:name="ref-wardb"/>
    <w:p>
      <w:pPr>
        <w:pStyle w:val="Bibliography"/>
      </w:pPr>
      <w:r>
        <w:t xml:space="preserve">Ward, J. (n.d.-b).</w:t>
      </w:r>
      <w:r>
        <w:t xml:space="preserve"> </w:t>
      </w:r>
      <w:r>
        <w:rPr>
          <w:i/>
          <w:iCs/>
        </w:rPr>
        <w:t xml:space="preserve">Optimizing a Measure of Consistency for Sequence-Space Synaesthesia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https://doi.org/10.31234/osf.io/5cnr7</w:t>
        </w:r>
      </w:hyperlink>
    </w:p>
    <w:bookmarkEnd w:id="109"/>
    <w:bookmarkStart w:id="111" w:name="ref-ward2018"/>
    <w:p>
      <w:pPr>
        <w:pStyle w:val="Bibliography"/>
      </w:pPr>
      <w:r>
        <w:t xml:space="preserve">Ward, J., Ipser, A., Phanvanova, E., Brown, P., Bunte, I., &amp; Simner, J. (2018). The prevalence and cognitive profile of sequence-space synaesthesia.</w:t>
      </w:r>
      <w:r>
        <w:t xml:space="preserve"> </w:t>
      </w:r>
      <w:r>
        <w:rPr>
          <w:i/>
          <w:iCs/>
        </w:rPr>
        <w:t xml:space="preserve">Consciousness and Cognition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, 79–93.</w:t>
      </w:r>
      <w:r>
        <w:t xml:space="preserve"> </w:t>
      </w:r>
      <w:hyperlink r:id="rId110">
        <w:r>
          <w:rPr>
            <w:rStyle w:val="Hyperlink"/>
          </w:rPr>
          <w:t xml:space="preserve">https://doi.org/10.1016/j.concog.2018.03.012</w:t>
        </w:r>
      </w:hyperlink>
    </w:p>
    <w:bookmarkEnd w:id="111"/>
    <w:bookmarkEnd w:id="112"/>
    <w:bookmarkEnd w:id="113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Of which we replicate the original results</w:t>
      </w:r>
      <w:r>
        <w:t xml:space="preserve"> </w:t>
      </w:r>
      <w:r>
        <w:t xml:space="preserve">(</w:t>
      </w:r>
      <w:hyperlink w:anchor="ref-rothen2016">
        <w:r>
          <w:rPr>
            <w:rStyle w:val="Hyperlink"/>
          </w:rPr>
          <w:t xml:space="preserve">Rothen et al., 2016</w:t>
        </w:r>
      </w:hyperlink>
      <w:r>
        <w:t xml:space="preserve">)</w:t>
      </w:r>
      <w:r>
        <w:t xml:space="preserve"> </w:t>
      </w:r>
      <w:r>
        <w:t xml:space="preserve">in a</w:t>
      </w:r>
      <w:r>
        <w:t xml:space="preserve"> </w:t>
      </w:r>
      <w:r>
        <w:t xml:space="preserve">separate document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70" Target="media/rId70.png" /><Relationship Type="http://schemas.openxmlformats.org/officeDocument/2006/relationships/image" Id="rId21" Target="media/rId21.svg" /><Relationship Type="http://schemas.openxmlformats.org/officeDocument/2006/relationships/hyperlink" Id="rId81" Target="https://doi.org/10.1007/s10339-013-0561-5" TargetMode="External" /><Relationship Type="http://schemas.openxmlformats.org/officeDocument/2006/relationships/hyperlink" Id="rId102" Target="https://doi.org/10.1016/0010-0277(92)90053-K" TargetMode="External" /><Relationship Type="http://schemas.openxmlformats.org/officeDocument/2006/relationships/hyperlink" Id="rId100" Target="https://doi.org/10.1016/j.cognition.2005.09.004" TargetMode="External" /><Relationship Type="http://schemas.openxmlformats.org/officeDocument/2006/relationships/hyperlink" Id="rId110" Target="https://doi.org/10.1016/j.concog.2018.03.012" TargetMode="External" /><Relationship Type="http://schemas.openxmlformats.org/officeDocument/2006/relationships/hyperlink" Id="rId91" Target="https://doi.org/10.1016/j.concog.2021.103192" TargetMode="External" /><Relationship Type="http://schemas.openxmlformats.org/officeDocument/2006/relationships/hyperlink" Id="rId93" Target="https://doi.org/10.1016/j.concog.2025.103819" TargetMode="External" /><Relationship Type="http://schemas.openxmlformats.org/officeDocument/2006/relationships/hyperlink" Id="rId104" Target="https://doi.org/10.1016/j.cortex.2020.04.034" TargetMode="External" /><Relationship Type="http://schemas.openxmlformats.org/officeDocument/2006/relationships/hyperlink" Id="rId97" Target="https://doi.org/10.1016/j.jneumeth.2013.02.009" TargetMode="External" /><Relationship Type="http://schemas.openxmlformats.org/officeDocument/2006/relationships/hyperlink" Id="rId85" Target="https://doi.org/10.1038/021252a0" TargetMode="External" /><Relationship Type="http://schemas.openxmlformats.org/officeDocument/2006/relationships/hyperlink" Id="rId89" Target="https://doi.org/10.1080/02643290600780080" TargetMode="External" /><Relationship Type="http://schemas.openxmlformats.org/officeDocument/2006/relationships/hyperlink" Id="rId107" Target="https://doi.org/10.31234/osf.io/5cnr7" TargetMode="External" /><Relationship Type="http://schemas.openxmlformats.org/officeDocument/2006/relationships/hyperlink" Id="rId87" Target="https://doi.org/10.32614/RJ-2018-009" TargetMode="External" /><Relationship Type="http://schemas.openxmlformats.org/officeDocument/2006/relationships/hyperlink" Id="rId83" Target="https://doi.org/10.3758/s13423-013-0387-2" TargetMode="External" /><Relationship Type="http://schemas.openxmlformats.org/officeDocument/2006/relationships/hyperlink" Id="rId95" Target="https://doi.org/10.3758/s13428-015-0656-2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77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75" Target="https://osf.io/pjb6e/?view_only=d467ebf4c1f94076ae4ac61298255065" TargetMode="External" /><Relationship Type="http://schemas.openxmlformats.org/officeDocument/2006/relationships/hyperlink" Id="rId59" Target="https://postgis.net/docs/ST_IsValid.html" TargetMode="External" /><Relationship Type="http://schemas.openxmlformats.org/officeDocument/2006/relationships/hyperlink" Id="rId32" Target="mailto:remy.lachlein@fernuni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doi.org/10.1007/s10339-013-0561-5" TargetMode="External" /><Relationship Type="http://schemas.openxmlformats.org/officeDocument/2006/relationships/hyperlink" Id="rId102" Target="https://doi.org/10.1016/0010-0277(92)90053-K" TargetMode="External" /><Relationship Type="http://schemas.openxmlformats.org/officeDocument/2006/relationships/hyperlink" Id="rId100" Target="https://doi.org/10.1016/j.cognition.2005.09.004" TargetMode="External" /><Relationship Type="http://schemas.openxmlformats.org/officeDocument/2006/relationships/hyperlink" Id="rId110" Target="https://doi.org/10.1016/j.concog.2018.03.012" TargetMode="External" /><Relationship Type="http://schemas.openxmlformats.org/officeDocument/2006/relationships/hyperlink" Id="rId91" Target="https://doi.org/10.1016/j.concog.2021.103192" TargetMode="External" /><Relationship Type="http://schemas.openxmlformats.org/officeDocument/2006/relationships/hyperlink" Id="rId93" Target="https://doi.org/10.1016/j.concog.2025.103819" TargetMode="External" /><Relationship Type="http://schemas.openxmlformats.org/officeDocument/2006/relationships/hyperlink" Id="rId104" Target="https://doi.org/10.1016/j.cortex.2020.04.034" TargetMode="External" /><Relationship Type="http://schemas.openxmlformats.org/officeDocument/2006/relationships/hyperlink" Id="rId97" Target="https://doi.org/10.1016/j.jneumeth.2013.02.009" TargetMode="External" /><Relationship Type="http://schemas.openxmlformats.org/officeDocument/2006/relationships/hyperlink" Id="rId85" Target="https://doi.org/10.1038/021252a0" TargetMode="External" /><Relationship Type="http://schemas.openxmlformats.org/officeDocument/2006/relationships/hyperlink" Id="rId89" Target="https://doi.org/10.1080/02643290600780080" TargetMode="External" /><Relationship Type="http://schemas.openxmlformats.org/officeDocument/2006/relationships/hyperlink" Id="rId107" Target="https://doi.org/10.31234/osf.io/5cnr7" TargetMode="External" /><Relationship Type="http://schemas.openxmlformats.org/officeDocument/2006/relationships/hyperlink" Id="rId87" Target="https://doi.org/10.32614/RJ-2018-009" TargetMode="External" /><Relationship Type="http://schemas.openxmlformats.org/officeDocument/2006/relationships/hyperlink" Id="rId83" Target="https://doi.org/10.3758/s13423-013-0387-2" TargetMode="External" /><Relationship Type="http://schemas.openxmlformats.org/officeDocument/2006/relationships/hyperlink" Id="rId95" Target="https://doi.org/10.3758/s13428-015-0656-2" TargetMode="External" /><Relationship Type="http://schemas.openxmlformats.org/officeDocument/2006/relationships/hyperlink" Id="rId25" Target="https://orcid.org/0000-0000-0000-0000" TargetMode="External" /><Relationship Type="http://schemas.openxmlformats.org/officeDocument/2006/relationships/hyperlink" Id="rId77" Target="https://osf.io/6h8dx" TargetMode="External" /><Relationship Type="http://schemas.openxmlformats.org/officeDocument/2006/relationships/hyperlink" Id="rId40" Target="https://osf.io/6hq94/files/osfstorage" TargetMode="External" /><Relationship Type="http://schemas.openxmlformats.org/officeDocument/2006/relationships/hyperlink" Id="rId37" Target="https://osf.io/9efjb/" TargetMode="External" /><Relationship Type="http://schemas.openxmlformats.org/officeDocument/2006/relationships/hyperlink" Id="rId75" Target="https://osf.io/pjb6e/?view_only=d467ebf4c1f94076ae4ac61298255065" TargetMode="External" /><Relationship Type="http://schemas.openxmlformats.org/officeDocument/2006/relationships/hyperlink" Id="rId59" Target="https://postgis.net/docs/ST_IsValid.html" TargetMode="External" /><Relationship Type="http://schemas.openxmlformats.org/officeDocument/2006/relationships/hyperlink" Id="rId32" Target="mailto:remy.lachlein@fernuni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MY PAPER’S TITLE</dc:description>
  <cp:keywords>Space sequence synesthesia, consistency</cp:keywords>
  <dcterms:created xsi:type="dcterms:W3CDTF">2025-11-12T15:56:31Z</dcterms:created>
  <dcterms:modified xsi:type="dcterms:W3CDTF">2025-11-12T15:56:31Z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is my abstract.</vt:lpwstr>
  </property>
  <property fmtid="{D5CDD505-2E9C-101B-9397-08002B2CF9AE}" pid="5" name="apaauthor">
    <vt:lpwstr/>
  </property>
  <property fmtid="{D5CDD505-2E9C-101B-9397-08002B2CF9AE}" pid="6" name="apatitle">
    <vt:lpwstr>Pre-registered report: Space Sequence Synesthesia Diagnostic using form mapping</vt:lpwstr>
  </property>
  <property fmtid="{D5CDD505-2E9C-101B-9397-08002B2CF9AE}" pid="7" name="apatitledisplay">
    <vt:lpwstr>Pre-registered report: Space Sequence Synesthesia Diagnostic using form mapping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rossref">
    <vt:lpwstr/>
  </property>
  <property fmtid="{D5CDD505-2E9C-101B-9397-08002B2CF9AE}" pid="15" name="csl">
    <vt:lpwstr>_extensions/wjschne/apaquarto/apa.csl</vt:lpwstr>
  </property>
  <property fmtid="{D5CDD505-2E9C-101B-9397-08002B2CF9AE}" pid="16" name="documentmode">
    <vt:lpwstr>man</vt:lpwstr>
  </property>
  <property fmtid="{D5CDD505-2E9C-101B-9397-08002B2CF9AE}" pid="17" name="execute">
    <vt:lpwstr/>
  </property>
  <property fmtid="{D5CDD505-2E9C-101B-9397-08002B2CF9AE}" pid="18" name="fig-cap-location">
    <vt:lpwstr>top</vt:lpwstr>
  </property>
  <property fmtid="{D5CDD505-2E9C-101B-9397-08002B2CF9AE}" pid="19" name="header-includes">
    <vt:lpwstr/>
  </property>
  <property fmtid="{D5CDD505-2E9C-101B-9397-08002B2CF9AE}" pid="20" name="include-after">
    <vt:lpwstr/>
  </property>
  <property fmtid="{D5CDD505-2E9C-101B-9397-08002B2CF9AE}" pid="21" name="include-before">
    <vt:lpwstr/>
  </property>
  <property fmtid="{D5CDD505-2E9C-101B-9397-08002B2CF9AE}" pid="22" name="knitr">
    <vt:lpwstr/>
  </property>
  <property fmtid="{D5CDD505-2E9C-101B-9397-08002B2CF9AE}" pid="23" name="labels">
    <vt:lpwstr/>
  </property>
  <property fmtid="{D5CDD505-2E9C-101B-9397-08002B2CF9AE}" pid="24" name="language">
    <vt:lpwstr/>
  </property>
  <property fmtid="{D5CDD505-2E9C-101B-9397-08002B2CF9AE}" pid="25" name="link-citations">
    <vt:lpwstr>True</vt:lpwstr>
  </property>
  <property fmtid="{D5CDD505-2E9C-101B-9397-08002B2CF9AE}" pid="26" name="no-ampersand-parenthetical">
    <vt:lpwstr>False</vt:lpwstr>
  </property>
  <property fmtid="{D5CDD505-2E9C-101B-9397-08002B2CF9AE}" pid="27" name="number-depth">
    <vt:lpwstr>3</vt:lpwstr>
  </property>
  <property fmtid="{D5CDD505-2E9C-101B-9397-08002B2CF9AE}" pid="28" name="numbersections">
    <vt:lpwstr>False</vt:lpwstr>
  </property>
  <property fmtid="{D5CDD505-2E9C-101B-9397-08002B2CF9AE}" pid="29" name="oneaffiliation">
    <vt:lpwstr>True</vt:lpwstr>
  </property>
  <property fmtid="{D5CDD505-2E9C-101B-9397-08002B2CF9AE}" pid="30" name="oneauthor">
    <vt:lpwstr>False</vt:lpwstr>
  </property>
  <property fmtid="{D5CDD505-2E9C-101B-9397-08002B2CF9AE}" pid="31" name="references">
    <vt:lpwstr/>
  </property>
  <property fmtid="{D5CDD505-2E9C-101B-9397-08002B2CF9AE}" pid="32" name="revealjs-plugins">
    <vt:lpwstr/>
  </property>
  <property fmtid="{D5CDD505-2E9C-101B-9397-08002B2CF9AE}" pid="33" name="shorttitle">
    <vt:lpwstr>MY PAPER’S TITLE</vt:lpwstr>
  </property>
  <property fmtid="{D5CDD505-2E9C-101B-9397-08002B2CF9AE}" pid="34" name="suppress-abstract">
    <vt:lpwstr>False</vt:lpwstr>
  </property>
  <property fmtid="{D5CDD505-2E9C-101B-9397-08002B2CF9AE}" pid="35" name="suppress-affiliation">
    <vt:lpwstr>False</vt:lpwstr>
  </property>
  <property fmtid="{D5CDD505-2E9C-101B-9397-08002B2CF9AE}" pid="36" name="suppress-author">
    <vt:lpwstr>False</vt:lpwstr>
  </property>
  <property fmtid="{D5CDD505-2E9C-101B-9397-08002B2CF9AE}" pid="37" name="suppress-author-note">
    <vt:lpwstr>False</vt:lpwstr>
  </property>
  <property fmtid="{D5CDD505-2E9C-101B-9397-08002B2CF9AE}" pid="38" name="suppress-corresponding-address">
    <vt:lpwstr>False</vt:lpwstr>
  </property>
  <property fmtid="{D5CDD505-2E9C-101B-9397-08002B2CF9AE}" pid="39" name="suppress-corresponding-affiliation-name">
    <vt:lpwstr>False</vt:lpwstr>
  </property>
  <property fmtid="{D5CDD505-2E9C-101B-9397-08002B2CF9AE}" pid="40" name="suppress-corresponding-city">
    <vt:lpwstr>False</vt:lpwstr>
  </property>
  <property fmtid="{D5CDD505-2E9C-101B-9397-08002B2CF9AE}" pid="41" name="suppress-corresponding-department">
    <vt:lpwstr>False</vt:lpwstr>
  </property>
  <property fmtid="{D5CDD505-2E9C-101B-9397-08002B2CF9AE}" pid="42" name="suppress-corresponding-email">
    <vt:lpwstr>False</vt:lpwstr>
  </property>
  <property fmtid="{D5CDD505-2E9C-101B-9397-08002B2CF9AE}" pid="43" name="suppress-corresponding-group">
    <vt:lpwstr>False</vt:lpwstr>
  </property>
  <property fmtid="{D5CDD505-2E9C-101B-9397-08002B2CF9AE}" pid="44" name="suppress-corresponding-paragraph">
    <vt:lpwstr>False</vt:lpwstr>
  </property>
  <property fmtid="{D5CDD505-2E9C-101B-9397-08002B2CF9AE}" pid="45" name="suppress-corresponding-postal-code">
    <vt:lpwstr>False</vt:lpwstr>
  </property>
  <property fmtid="{D5CDD505-2E9C-101B-9397-08002B2CF9AE}" pid="46" name="suppress-corresponding-region">
    <vt:lpwstr>False</vt:lpwstr>
  </property>
  <property fmtid="{D5CDD505-2E9C-101B-9397-08002B2CF9AE}" pid="47" name="suppress-credit-statement">
    <vt:lpwstr>False</vt:lpwstr>
  </property>
  <property fmtid="{D5CDD505-2E9C-101B-9397-08002B2CF9AE}" pid="48" name="suppress-disclosures-paragraph">
    <vt:lpwstr>False</vt:lpwstr>
  </property>
  <property fmtid="{D5CDD505-2E9C-101B-9397-08002B2CF9AE}" pid="49" name="suppress-impact-statement">
    <vt:lpwstr>False</vt:lpwstr>
  </property>
  <property fmtid="{D5CDD505-2E9C-101B-9397-08002B2CF9AE}" pid="50" name="suppress-keywords">
    <vt:lpwstr>False</vt:lpwstr>
  </property>
  <property fmtid="{D5CDD505-2E9C-101B-9397-08002B2CF9AE}" pid="51" name="suppress-orcid">
    <vt:lpwstr>False</vt:lpwstr>
  </property>
  <property fmtid="{D5CDD505-2E9C-101B-9397-08002B2CF9AE}" pid="52" name="suppress-short-title">
    <vt:lpwstr>False</vt:lpwstr>
  </property>
  <property fmtid="{D5CDD505-2E9C-101B-9397-08002B2CF9AE}" pid="53" name="suppress-status-change-paragraph">
    <vt:lpwstr>False</vt:lpwstr>
  </property>
  <property fmtid="{D5CDD505-2E9C-101B-9397-08002B2CF9AE}" pid="54" name="suppress-title">
    <vt:lpwstr>False</vt:lpwstr>
  </property>
  <property fmtid="{D5CDD505-2E9C-101B-9397-08002B2CF9AE}" pid="55" name="suppress-title-introduction">
    <vt:lpwstr>False</vt:lpwstr>
  </property>
  <property fmtid="{D5CDD505-2E9C-101B-9397-08002B2CF9AE}" pid="56" name="suppress-title-page">
    <vt:lpwstr>False</vt:lpwstr>
  </property>
  <property fmtid="{D5CDD505-2E9C-101B-9397-08002B2CF9AE}" pid="57" name="suppress-title-page-number">
    <vt:lpwstr>False</vt:lpwstr>
  </property>
  <property fmtid="{D5CDD505-2E9C-101B-9397-08002B2CF9AE}" pid="58" name="tbl-cap-location">
    <vt:lpwstr>top</vt:lpwstr>
  </property>
  <property fmtid="{D5CDD505-2E9C-101B-9397-08002B2CF9AE}" pid="59" name="toc-title">
    <vt:lpwstr>Table of contents</vt:lpwstr>
  </property>
  <property fmtid="{D5CDD505-2E9C-101B-9397-08002B2CF9AE}" pid="60" name="wordn">
    <vt:lpwstr>2121</vt:lpwstr>
  </property>
  <property fmtid="{D5CDD505-2E9C-101B-9397-08002B2CF9AE}" pid="61" name="zerocitations">
    <vt:lpwstr>False</vt:lpwstr>
  </property>
</Properties>
</file>