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39.png" ContentType="image/png"/>
  <Override PartName="/word/media/rId183.png" ContentType="image/png"/>
  <Override PartName="/word/media/rId187.png" ContentType="image/png"/>
  <Override PartName="/word/media/rId143.png" ContentType="image/png"/>
  <Override PartName="/word/media/rId148.png" ContentType="image/png"/>
  <Override PartName="/word/media/rId154.png" ContentType="image/png"/>
  <Override PartName="/word/media/rId158.png" ContentType="image/png"/>
  <Override PartName="/word/media/rId163.png" ContentType="image/png"/>
  <Override PartName="/word/media/rId167.png" ContentType="image/png"/>
  <Override PartName="/word/media/rId193.png" ContentType="image/png"/>
  <Override PartName="/word/media/rId174.png" ContentType="image/png"/>
  <Override PartName="/word/media/rId178.png" ContentType="image/png"/>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Pre-registered report: Mapping Synesthetic Sequences in Space: Improving Consistency Test by Harnessing Cartography Tools.</w:t>
      </w:r>
    </w:p>
    <w:p>
      <w:pPr>
        <w:pStyle w:val="Author"/>
      </w:pPr>
      <w:r>
        <w:t xml:space="preserve"> </w:t>
      </w:r>
    </w:p>
    <w:p>
      <w:pPr>
        <w:pStyle w:val="Author"/>
      </w:pPr>
      <w:r>
        <w:t xml:space="preserve">Rémy Lachelin, Chhavi Sachdeva, and Nicolas Rothen</w:t>
      </w:r>
    </w:p>
    <w:p>
      <w:pPr>
        <w:pStyle w:val="Author"/>
      </w:pPr>
      <w:r>
        <w:t xml:space="preserve">Psychology, UniDistance Suisse</w:t>
      </w:r>
    </w:p>
    <w:p>
      <w:pPr>
        <w:pStyle w:val="BodyText"/>
      </w:pPr>
      <w:r>
        <w:t xml:space="preserve"> </w:t>
      </w:r>
    </w:p>
    <w:p>
      <w:pPr>
        <w:pStyle w:val="BodyText"/>
      </w:pPr>
      <w:r>
        <w:t xml:space="preserve"> </w:t>
      </w:r>
    </w:p>
    <w:bookmarkEnd w:id="20"/>
    <w:bookmarkStart w:id="35" w:name="author-note"/>
    <w:p>
      <w:pPr>
        <w:pStyle w:val="Heading1"/>
      </w:pPr>
      <w:r>
        <w:t xml:space="preserve">Author Note</w:t>
      </w:r>
    </w:p>
    <w:p>
      <w:pPr>
        <w:pStyle w:val="FirstParagraph"/>
      </w:pPr>
      <w:r>
        <w:t xml:space="preserve">Rémy Lachelin</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https://orcid.org/0000-0002-8485-7153</w:t>
        </w:r>
      </w:hyperlink>
    </w:p>
    <w:p>
      <w:pPr>
        <w:pStyle w:val="BodyText"/>
      </w:pPr>
      <w:r>
        <w:t xml:space="preserve">Chhavi Sachdeva</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https://orcid.org/0000-0002-0074-4371</w:t>
        </w:r>
      </w:hyperlink>
    </w:p>
    <w:p>
      <w:pPr>
        <w:pStyle w:val="BodyText"/>
      </w:pPr>
      <w:r>
        <w:t xml:space="preserve">Nicolas Rothen</w:t>
      </w:r>
      <w:r>
        <w:t xml:space="preserve"> </w:t>
      </w:r>
      <w:bookmarkStart w:id="32"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https://orcid.org/0000-0002-8874-8341</w:t>
        </w:r>
      </w:hyperlink>
    </w:p>
    <w:p>
      <w:pPr>
        <w:pStyle w:val="BodyText"/>
      </w:pPr>
      <w:r>
        <w:t xml:space="preserve">Author roles were classified using the Contributor Role Taxonomy (CRediT; https://credit.niso.org/) as follows: </w:t>
      </w:r>
      <w:r>
        <w:rPr>
          <w:i/>
          <w:iCs/>
        </w:rPr>
        <w:t xml:space="preserve">Rémy Lachelin</w:t>
      </w:r>
      <w:r>
        <w:rPr>
          <w:b/>
          <w:bCs/>
        </w:rPr>
        <w:t xml:space="preserve">: </w:t>
      </w:r>
      <w:r>
        <w:t xml:space="preserve">conceptualization, methodology, formal analysis, data curation, and Writing - Original Draft. </w:t>
      </w:r>
      <w:r>
        <w:rPr>
          <w:i/>
          <w:iCs/>
        </w:rPr>
        <w:t xml:space="preserve">Chhavi Sachdeva</w:t>
      </w:r>
      <w:r>
        <w:rPr>
          <w:b/>
          <w:bCs/>
        </w:rPr>
        <w:t xml:space="preserve">: </w:t>
      </w:r>
      <w:r>
        <w:t xml:space="preserve">conceptualization, methodology, and Writing - Review &amp; Editing. </w:t>
      </w:r>
      <w:r>
        <w:rPr>
          <w:i/>
          <w:iCs/>
        </w:rPr>
        <w:t xml:space="preserve">Nicolas Rothen</w:t>
      </w:r>
      <w:r>
        <w:rPr>
          <w:b/>
          <w:bCs/>
        </w:rPr>
        <w:t xml:space="preserve">: </w:t>
      </w:r>
      <w:r>
        <w:t xml:space="preserve">conceptualization, Writing - Review &amp; Editing, supervision, project administration, and Founding Acquisition</w:t>
      </w:r>
    </w:p>
    <w:p>
      <w:pPr>
        <w:pStyle w:val="BodyText"/>
      </w:pPr>
      <w:r>
        <w:t xml:space="preserve">Correspondence concerning this article should be addressed to Rémy Lachelin, Psychology, UniDistance Suisse, Schinerstrasse 18, Brig-Glis, Valais 3900, Email:</w:t>
      </w:r>
      <w:r>
        <w:t xml:space="preserve"> </w:t>
      </w:r>
      <w:hyperlink r:id="rId34">
        <w:r>
          <w:rPr>
            <w:rStyle w:val="Hyperlink"/>
          </w:rPr>
          <w:t xml:space="preserve">remy.lachelin@fernuni.ch</w:t>
        </w:r>
      </w:hyperlink>
    </w:p>
    <w:p>
      <w:r>
        <w:br w:type="page"/>
      </w:r>
    </w:p>
    <w:bookmarkEnd w:id="35"/>
    <w:bookmarkStart w:id="36" w:name="abstract"/>
    <w:p>
      <w:pPr>
        <w:pStyle w:val="Heading1"/>
      </w:pPr>
      <w:r>
        <w:t xml:space="preserve">Abstract</w:t>
      </w:r>
    </w:p>
    <w:p>
      <w:pPr>
        <w:pStyle w:val="AbstractFirstParagraph"/>
      </w:pPr>
      <w:r>
        <w:t xml:space="preserve">Sequence–space synaesthesia (SSS) is the experience reported by some people of spatial forms elicited by ordered symbolic sequences. SSS is identified using self-reports (e.g. questionnaires) and behavioural consistency tests. Existing consistency test’s diagnostic features focus on stimulus-specific metrics of the distance between repeated responses to the same stimuli, therefore overlooking ordinal and geometric properties of spatial-forms. In the</w:t>
      </w:r>
      <w:r>
        <w:t xml:space="preserve"> </w:t>
      </w:r>
      <w:r>
        <w:rPr>
          <w:i/>
          <w:iCs/>
        </w:rPr>
        <w:t xml:space="preserve">phase I</w:t>
      </w:r>
      <w:r>
        <w:t xml:space="preserve"> </w:t>
      </w:r>
      <w:r>
        <w:t xml:space="preserve">of this preregistered study, we attempt at optimizing SSS diagnostics from consistency test by extracting novel geometric features on a spatial-form level. We evaluate classification performances of old and new features in a large (N = 685) aggregated sample from three independent datasets. We harness a geographic toolbox to quantify topological spatial-forms. Receiver operating characteristic (ROC) analyses are conducted to assess discriminative performances of each features. The results show that permuted topological validity of the spatial-forms and perimeter between stimuli performs equally well in detecting SSS. In</w:t>
      </w:r>
      <w:r>
        <w:t xml:space="preserve"> </w:t>
      </w:r>
      <w:r>
        <w:rPr>
          <w:i/>
          <w:iCs/>
        </w:rPr>
        <w:t xml:space="preserve">phase II</w:t>
      </w:r>
      <w:r>
        <w:t xml:space="preserve">, we will examine predictive validity of the selected features on an independent dataset that has yet to be collected.</w:t>
      </w:r>
      <w:r>
        <w:t xml:space="preserve"> </w:t>
      </w:r>
      <w:r>
        <w:rPr>
          <w:i/>
          <w:iCs/>
        </w:rPr>
        <w:t xml:space="preserve">Phase I</w:t>
      </w:r>
      <w:r>
        <w:t xml:space="preserve"> </w:t>
      </w:r>
      <w:r>
        <w:t xml:space="preserve">findings highlight the relevance of topological principles for sequence-space representations and attempts at optimizing consistency tests’s ability at detecting SSS.</w:t>
      </w:r>
    </w:p>
    <w:p>
      <w:pPr>
        <w:pStyle w:val="BodyText"/>
      </w:pPr>
      <w:r>
        <w:rPr>
          <w:i/>
          <w:iCs/>
        </w:rPr>
        <w:t xml:space="preserve">Keywords</w:t>
      </w:r>
      <w:r>
        <w:t xml:space="preserve">: Sequence space synaesthesia, Synaesthesia/synesthesia, consistency test, space, time, numbers</w:t>
      </w:r>
    </w:p>
    <w:p>
      <w:r>
        <w:br w:type="page"/>
      </w:r>
    </w:p>
    <w:bookmarkEnd w:id="36"/>
    <w:bookmarkStart w:id="37" w:name="firstheader"/>
    <w:p>
      <w:pPr>
        <w:pStyle w:val="Heading1"/>
      </w:pPr>
      <w:r>
        <w:t xml:space="preserve">Pre-registered report: Mapping Synesthetic Sequences in Space: Improving Consistency Test by Harnessing Cartography Tools.</w:t>
      </w:r>
    </w:p>
    <w:bookmarkEnd w:id="37"/>
    <w:bookmarkStart w:id="41" w:name="sec-introduction"/>
    <w:p>
      <w:pPr>
        <w:pStyle w:val="Heading1"/>
      </w:pPr>
      <w:r>
        <w:t xml:space="preserve">Introduction</w:t>
      </w:r>
    </w:p>
    <w:p>
      <w:pPr>
        <w:pStyle w:val="FirstParagraph"/>
      </w:pPr>
      <w:r>
        <w:t xml:space="preserve">Sequence-Space Synaesthesia (SSS) or visuo-spatial forms is the</w:t>
      </w:r>
      <w:r>
        <w:t xml:space="preserve"> </w:t>
      </w:r>
      <w:r>
        <w:t xml:space="preserve">phenomenon where people visualize ordered sequences in particular</w:t>
      </w:r>
      <w:r>
        <w:t xml:space="preserve"> </w:t>
      </w:r>
      <w:r>
        <w:t xml:space="preserve">spatial positions. For example, numbers, weekdays or months (synesthetic</w:t>
      </w:r>
      <w:r>
        <w:t xml:space="preserve"> </w:t>
      </w:r>
      <w:r>
        <w:rPr>
          <w:i/>
          <w:iCs/>
        </w:rPr>
        <w:t xml:space="preserve">inducers</w:t>
      </w:r>
      <w:r>
        <w:t xml:space="preserve">) are represented as arranged into specific spatial positions</w:t>
      </w:r>
      <w:r>
        <w:t xml:space="preserve"> </w:t>
      </w:r>
      <w:r>
        <w:t xml:space="preserve">in space (synesthetic</w:t>
      </w:r>
      <w:r>
        <w:t xml:space="preserve"> </w:t>
      </w:r>
      <w:r>
        <w:rPr>
          <w:i/>
          <w:iCs/>
        </w:rPr>
        <w:t xml:space="preserve">concurrent</w:t>
      </w:r>
      <w:r>
        <w:t xml:space="preserve">). The synaesthetic space forms are</w:t>
      </w:r>
      <w:r>
        <w:t xml:space="preserve"> </w:t>
      </w:r>
      <w:r>
        <w:t xml:space="preserve">characteristic and form complex and variable geometric forms. Those</w:t>
      </w:r>
      <w:r>
        <w:t xml:space="preserve"> </w:t>
      </w:r>
      <w:r>
        <w:t xml:space="preserve">geometric forms might be different for each categories (i.e.</w:t>
      </w:r>
      <w:r>
        <w:t xml:space="preserve"> </w:t>
      </w:r>
      <w:r>
        <w:t xml:space="preserve">number-forms</w:t>
      </w:r>
      <w:r>
        <w:t xml:space="preserve"> </w:t>
      </w:r>
      <w:r>
        <w:t xml:space="preserve">(</w:t>
      </w:r>
      <w:hyperlink w:anchor="ref-galton1880">
        <w:r>
          <w:rPr>
            <w:rStyle w:val="Hyperlink"/>
          </w:rPr>
          <w:t xml:space="preserve">Galton, 1880</w:t>
        </w:r>
      </w:hyperlink>
      <w:r>
        <w:t xml:space="preserve">)</w:t>
      </w:r>
      <w:r>
        <w:t xml:space="preserve">, weekdays and months), with forms such as</w:t>
      </w:r>
      <w:r>
        <w:t xml:space="preserve"> </w:t>
      </w:r>
      <w:r>
        <w:t xml:space="preserve">ellipses, zig-zags or curbed lines</w:t>
      </w:r>
      <w:r>
        <w:t xml:space="preserve"> </w:t>
      </w:r>
      <w:r>
        <w:t xml:space="preserve">(</w:t>
      </w:r>
      <w:hyperlink w:anchor="ref-flournoy1893">
        <w:r>
          <w:rPr>
            <w:rStyle w:val="Hyperlink"/>
          </w:rPr>
          <w:t xml:space="preserve">Flournoy, 1893</w:t>
        </w:r>
      </w:hyperlink>
      <w:r>
        <w:t xml:space="preserve">)</w:t>
      </w:r>
      <w:r>
        <w:t xml:space="preserve">. While SSS is a</w:t>
      </w:r>
      <w:r>
        <w:t xml:space="preserve"> </w:t>
      </w:r>
      <w:r>
        <w:t xml:space="preserve">specific</w:t>
      </w:r>
      <w:r>
        <w:t xml:space="preserve"> </w:t>
      </w:r>
      <w:r>
        <w:t xml:space="preserve">“subtype”</w:t>
      </w:r>
      <w:r>
        <w:t xml:space="preserve"> </w:t>
      </w:r>
      <w:r>
        <w:t xml:space="preserve">of synaesthesia it also largely overlaps with other</w:t>
      </w:r>
      <w:r>
        <w:t xml:space="preserve"> </w:t>
      </w:r>
      <w:r>
        <w:t xml:space="preserve">types. For example, colour-grapheme synaesthesia where a grapheme</w:t>
      </w:r>
      <w:r>
        <w:t xml:space="preserve"> </w:t>
      </w:r>
      <w:r>
        <w:rPr>
          <w:i/>
          <w:iCs/>
        </w:rPr>
        <w:t xml:space="preserve">inducer</w:t>
      </w:r>
      <w:r>
        <w:t xml:space="preserve"> </w:t>
      </w:r>
      <w:r>
        <w:t xml:space="preserve">triggers a</w:t>
      </w:r>
      <w:r>
        <w:t xml:space="preserve"> </w:t>
      </w:r>
      <w:r>
        <w:rPr>
          <w:i/>
          <w:iCs/>
        </w:rPr>
        <w:t xml:space="preserve">concurrent</w:t>
      </w:r>
      <w:r>
        <w:t xml:space="preserve"> </w:t>
      </w:r>
      <w:r>
        <w:t xml:space="preserve">colour (i.e. </w:t>
      </w:r>
      <w:r>
        <w:t xml:space="preserve">“A”</w:t>
      </w:r>
      <w:r>
        <w:t xml:space="preserve"> </w:t>
      </w:r>
      <w:r>
        <w:t xml:space="preserve">seen as red),</w:t>
      </w:r>
      <w:r>
        <w:t xml:space="preserve"> </w:t>
      </w:r>
      <w:r>
        <w:t xml:space="preserve">co-occurs at 71 % to 76 % with SSS</w:t>
      </w:r>
      <w:r>
        <w:t xml:space="preserve"> </w:t>
      </w:r>
      <w:r>
        <w:t xml:space="preserve">(</w:t>
      </w:r>
      <w:hyperlink w:anchor="ref-sagiv2006">
        <w:r>
          <w:rPr>
            <w:rStyle w:val="Hyperlink"/>
          </w:rPr>
          <w:t xml:space="preserve">Sagiv et al., 2006</w:t>
        </w:r>
      </w:hyperlink>
      <w:r>
        <w:t xml:space="preserve">)</w:t>
      </w:r>
      <w:r>
        <w:t xml:space="preserve">. Across different</w:t>
      </w:r>
      <w:r>
        <w:t xml:space="preserve"> </w:t>
      </w:r>
      <w:r>
        <w:t xml:space="preserve">synaesthetic subtypes subtypes, self-reported SSS tend to cluster</w:t>
      </w:r>
      <w:r>
        <w:t xml:space="preserve"> </w:t>
      </w:r>
      <w:r>
        <w:t xml:space="preserve">together</w:t>
      </w:r>
      <w:r>
        <w:t xml:space="preserve"> </w:t>
      </w:r>
      <w:r>
        <w:t xml:space="preserve">(</w:t>
      </w:r>
      <w:hyperlink w:anchor="ref-ward2022">
        <w:r>
          <w:rPr>
            <w:rStyle w:val="Hyperlink"/>
          </w:rPr>
          <w:t xml:space="preserve">Ward &amp; Simner, 2022</w:t>
        </w:r>
      </w:hyperlink>
      <w:r>
        <w:t xml:space="preserve">)</w:t>
      </w:r>
      <w:r>
        <w:t xml:space="preserve">, indicating a degree of internal homogeneity and</w:t>
      </w:r>
      <w:r>
        <w:t xml:space="preserve"> </w:t>
      </w:r>
      <w:r>
        <w:t xml:space="preserve">justifying to study it as a distinct phenomenon.</w:t>
      </w:r>
    </w:p>
    <w:p>
      <w:pPr>
        <w:pStyle w:val="BodyText"/>
      </w:pPr>
      <w:r>
        <w:t xml:space="preserve">Spatial-forms are idiosyncratic, which results in considerable</w:t>
      </w:r>
      <w:r>
        <w:t xml:space="preserve"> </w:t>
      </w:r>
      <w:r>
        <w:t xml:space="preserve">heterogeneity in how this phenomenon is manifested across individuals.</w:t>
      </w:r>
      <w:r>
        <w:t xml:space="preserve"> </w:t>
      </w:r>
      <w:r>
        <w:t xml:space="preserve">One source of heterogeneity is given by dimensionality: some SSS</w:t>
      </w:r>
      <w:r>
        <w:t xml:space="preserve"> </w:t>
      </w:r>
      <w:r>
        <w:t xml:space="preserve">experiences spatial-forms involve three-dimensional (3D) and</w:t>
      </w:r>
      <w:r>
        <w:t xml:space="preserve"> </w:t>
      </w:r>
      <w:r>
        <w:t xml:space="preserve">two-dimensional (2D) arrangements</w:t>
      </w:r>
      <w:r>
        <w:t xml:space="preserve"> </w:t>
      </w:r>
      <w:r>
        <w:t xml:space="preserve">(</w:t>
      </w:r>
      <w:hyperlink w:anchor="ref-eagleman2009a">
        <w:r>
          <w:rPr>
            <w:rStyle w:val="Hyperlink"/>
          </w:rPr>
          <w:t xml:space="preserve">Eagleman, 2009</w:t>
        </w:r>
      </w:hyperlink>
      <w:r>
        <w:t xml:space="preserve">;</w:t>
      </w:r>
      <w:r>
        <w:t xml:space="preserve"> </w:t>
      </w:r>
      <w:hyperlink w:anchor="ref-price2013">
        <w:r>
          <w:rPr>
            <w:rStyle w:val="Hyperlink"/>
          </w:rPr>
          <w:t xml:space="preserve">Price &amp; Pearson, 2013</w:t>
        </w:r>
      </w:hyperlink>
      <w:r>
        <w:t xml:space="preserve">)</w:t>
      </w:r>
      <w:r>
        <w:t xml:space="preserve">. Another</w:t>
      </w:r>
      <w:r>
        <w:t xml:space="preserve"> </w:t>
      </w:r>
      <w:r>
        <w:t xml:space="preserve">source is the reference frame, for example, the spatial-forms might take</w:t>
      </w:r>
      <w:r>
        <w:t xml:space="preserve"> </w:t>
      </w:r>
      <w:r>
        <w:t xml:space="preserve">place in an external space around the body (</w:t>
      </w:r>
      <w:r>
        <w:rPr>
          <w:i/>
          <w:iCs/>
        </w:rPr>
        <w:t xml:space="preserve">i.e.</w:t>
      </w:r>
      <w:r>
        <w:t xml:space="preserve"> </w:t>
      </w:r>
      <w:r>
        <w:t xml:space="preserve">projector) or in an</w:t>
      </w:r>
      <w:r>
        <w:t xml:space="preserve"> </w:t>
      </w:r>
      <w:r>
        <w:t xml:space="preserve">egocentric internal space (</w:t>
      </w:r>
      <w:r>
        <w:rPr>
          <w:i/>
          <w:iCs/>
        </w:rPr>
        <w:t xml:space="preserve">i.e.</w:t>
      </w:r>
      <w:r>
        <w:t xml:space="preserve"> </w:t>
      </w:r>
      <w:r>
        <w:t xml:space="preserve">associator)</w:t>
      </w:r>
      <w:r>
        <w:t xml:space="preserve"> </w:t>
      </w:r>
      <w:r>
        <w:t xml:space="preserve">(</w:t>
      </w:r>
      <w:hyperlink w:anchor="ref-dixon2004">
        <w:r>
          <w:rPr>
            <w:rStyle w:val="Hyperlink"/>
          </w:rPr>
          <w:t xml:space="preserve">Dixon et al., 2004</w:t>
        </w:r>
      </w:hyperlink>
      <w:r>
        <w:t xml:space="preserve">;</w:t>
      </w:r>
      <w:r>
        <w:t xml:space="preserve"> </w:t>
      </w:r>
      <w:hyperlink w:anchor="ref-smilek2007">
        <w:r>
          <w:rPr>
            <w:rStyle w:val="Hyperlink"/>
          </w:rPr>
          <w:t xml:space="preserve">Smilek et al., 2007</w:t>
        </w:r>
      </w:hyperlink>
      <w:r>
        <w:t xml:space="preserve">)</w:t>
      </w:r>
      <w:r>
        <w:t xml:space="preserve">.</w:t>
      </w:r>
      <w:r>
        <w:t xml:space="preserve"> </w:t>
      </w:r>
      <w:r>
        <w:t xml:space="preserve">Further variability can be explained by temporal-spatial properties and</w:t>
      </w:r>
      <w:r>
        <w:t xml:space="preserve"> </w:t>
      </w:r>
      <w:r>
        <w:t xml:space="preserve">mental-manipulation of spatial forms such as</w:t>
      </w:r>
      <w:r>
        <w:t xml:space="preserve"> </w:t>
      </w:r>
      <w:r>
        <w:t xml:space="preserve">“zooming”</w:t>
      </w:r>
      <w:r>
        <w:t xml:space="preserve"> </w:t>
      </w:r>
      <w:r>
        <w:t xml:space="preserve">in and out or</w:t>
      </w:r>
      <w:r>
        <w:t xml:space="preserve"> </w:t>
      </w:r>
      <w:r>
        <w:t xml:space="preserve">rotating or shifting perspectives at will</w:t>
      </w:r>
      <w:r>
        <w:t xml:space="preserve"> </w:t>
      </w:r>
      <w:r>
        <w:t xml:space="preserve">(</w:t>
      </w:r>
      <w:hyperlink w:anchor="ref-gould2014">
        <w:r>
          <w:rPr>
            <w:rStyle w:val="Hyperlink"/>
          </w:rPr>
          <w:t xml:space="preserve">Gould et al., 2014</w:t>
        </w:r>
      </w:hyperlink>
      <w:r>
        <w:t xml:space="preserve">;</w:t>
      </w:r>
      <w:r>
        <w:t xml:space="preserve"> </w:t>
      </w:r>
      <w:hyperlink w:anchor="ref-jarick2009">
        <w:r>
          <w:rPr>
            <w:rStyle w:val="Hyperlink"/>
          </w:rPr>
          <w:t xml:space="preserve">Jarick et al., 2009</w:t>
        </w:r>
      </w:hyperlink>
      <w:r>
        <w:t xml:space="preserve">)</w:t>
      </w:r>
      <w:r>
        <w:t xml:space="preserve">.</w:t>
      </w:r>
      <w:r>
        <w:t xml:space="preserve"> </w:t>
      </w:r>
      <w:r>
        <w:t xml:space="preserve">Lastly, the shape, complexity and layout of the spatial forms are also</w:t>
      </w:r>
      <w:r>
        <w:t xml:space="preserve"> </w:t>
      </w:r>
      <w:r>
        <w:t xml:space="preserve">heterogeneous such as forming for example ovals, lines or zig-zags or</w:t>
      </w:r>
      <w:r>
        <w:t xml:space="preserve"> </w:t>
      </w:r>
      <w:r>
        <w:t xml:space="preserve">loops. With some recurring shapes being more frequent across SSS, such</w:t>
      </w:r>
      <w:r>
        <w:t xml:space="preserve"> </w:t>
      </w:r>
      <w:r>
        <w:t xml:space="preserve">as ovals for months</w:t>
      </w:r>
      <w:r>
        <w:t xml:space="preserve"> </w:t>
      </w:r>
      <w:r>
        <w:t xml:space="preserve">(</w:t>
      </w:r>
      <w:hyperlink w:anchor="ref-eagleman2009a">
        <w:r>
          <w:rPr>
            <w:rStyle w:val="Hyperlink"/>
          </w:rPr>
          <w:t xml:space="preserve">Eagleman, 2009</w:t>
        </w:r>
      </w:hyperlink>
      <w:r>
        <w:t xml:space="preserve">)</w:t>
      </w:r>
      <w:r>
        <w:t xml:space="preserve">.</w:t>
      </w:r>
    </w:p>
    <w:p>
      <w:pPr>
        <w:pStyle w:val="BodyText"/>
      </w:pPr>
      <w:r>
        <w:t xml:space="preserve">Despite the after mentioned heterogeneities, SSS is also</w:t>
      </w:r>
      <w:r>
        <w:t xml:space="preserve"> </w:t>
      </w:r>
      <w:r>
        <w:t xml:space="preserve">phenomenological characterized, arguably there might be five main</w:t>
      </w:r>
      <w:r>
        <w:t xml:space="preserve"> </w:t>
      </w:r>
      <w:r>
        <w:t xml:space="preserve">characteristics for synesthesia in general and specifically SSS</w:t>
      </w:r>
      <w:r>
        <w:t xml:space="preserve"> </w:t>
      </w:r>
      <w:r>
        <w:t xml:space="preserve">(</w:t>
      </w:r>
      <w:hyperlink w:anchor="ref-deroy2013">
        <w:r>
          <w:rPr>
            <w:rStyle w:val="Hyperlink"/>
          </w:rPr>
          <w:t xml:space="preserve">Deroy &amp; Spence, 2013</w:t>
        </w:r>
      </w:hyperlink>
      <w:r>
        <w:t xml:space="preserve">;</w:t>
      </w:r>
      <w:r>
        <w:t xml:space="preserve"> </w:t>
      </w:r>
      <w:hyperlink w:anchor="ref-seron1992">
        <w:r>
          <w:rPr>
            <w:rStyle w:val="Hyperlink"/>
          </w:rPr>
          <w:t xml:space="preserve">Seron et al., 1992</w:t>
        </w:r>
      </w:hyperlink>
      <w:r>
        <w:t xml:space="preserve">)</w:t>
      </w:r>
      <w:r>
        <w:t xml:space="preserve">.</w:t>
      </w:r>
      <w:r>
        <w:t xml:space="preserve"> </w:t>
      </w:r>
      <w:r>
        <w:rPr>
          <w:i/>
          <w:iCs/>
        </w:rPr>
        <w:t xml:space="preserve">Automaticity</w:t>
      </w:r>
      <w:r>
        <w:t xml:space="preserve">: the inducer automatically</w:t>
      </w:r>
      <w:r>
        <w:t xml:space="preserve"> </w:t>
      </w:r>
      <w:r>
        <w:t xml:space="preserve">triggers the concurrent.</w:t>
      </w:r>
      <w:r>
        <w:t xml:space="preserve"> </w:t>
      </w:r>
      <w:r>
        <w:rPr>
          <w:i/>
          <w:iCs/>
        </w:rPr>
        <w:t xml:space="preserve">Unidirectionality</w:t>
      </w:r>
      <w:r>
        <w:t xml:space="preserve">: while the</w:t>
      </w:r>
      <w:r>
        <w:t xml:space="preserve"> </w:t>
      </w:r>
      <w:r>
        <w:rPr>
          <w:i/>
          <w:iCs/>
        </w:rPr>
        <w:t xml:space="preserve">inducer</w:t>
      </w:r>
      <w:r>
        <w:t xml:space="preserve"> </w:t>
      </w:r>
      <w:r>
        <w:t xml:space="preserve">triggers the concurrent, the concurrent does not trigger the inducer.</w:t>
      </w:r>
      <w:r>
        <w:t xml:space="preserve"> </w:t>
      </w:r>
      <w:r>
        <w:rPr>
          <w:i/>
          <w:iCs/>
        </w:rPr>
        <w:t xml:space="preserve">Developmentally</w:t>
      </w:r>
      <w:r>
        <w:t xml:space="preserve">: the experience was already present during childhood.</w:t>
      </w:r>
      <w:r>
        <w:t xml:space="preserve"> </w:t>
      </w:r>
      <w:r>
        <w:rPr>
          <w:i/>
          <w:iCs/>
        </w:rPr>
        <w:t xml:space="preserve">Consciousness</w:t>
      </w:r>
      <w:r>
        <w:t xml:space="preserve">: The concurrent is consciously perceived.</w:t>
      </w:r>
      <w:r>
        <w:t xml:space="preserve"> </w:t>
      </w:r>
      <w:r>
        <w:rPr>
          <w:i/>
          <w:iCs/>
        </w:rPr>
        <w:t xml:space="preserve">Consistency</w:t>
      </w:r>
      <w:r>
        <w:t xml:space="preserve">:</w:t>
      </w:r>
      <w:r>
        <w:t xml:space="preserve"> </w:t>
      </w:r>
      <w:r>
        <w:t xml:space="preserve">the inducer-concurrent pair remains stable in time within subject. While</w:t>
      </w:r>
      <w:r>
        <w:t xml:space="preserve"> </w:t>
      </w:r>
      <w:r>
        <w:t xml:space="preserve">some of these characteristics can be captured with self-reported</w:t>
      </w:r>
      <w:r>
        <w:t xml:space="preserve"> </w:t>
      </w:r>
      <w:r>
        <w:t xml:space="preserve">questionnaire (i.e. for development and consciousness), other can be</w:t>
      </w:r>
      <w:r>
        <w:t xml:space="preserve"> </w:t>
      </w:r>
      <w:r>
        <w:t xml:space="preserve">quantified more objectively using behavioural tests such as consistency</w:t>
      </w:r>
      <w:r>
        <w:t xml:space="preserve"> </w:t>
      </w:r>
      <w:r>
        <w:t xml:space="preserve">tests</w:t>
      </w:r>
      <w:r>
        <w:t xml:space="preserve"> </w:t>
      </w:r>
      <w:r>
        <w:t xml:space="preserve">(</w:t>
      </w:r>
      <w:hyperlink w:anchor="ref-baron-cohen1993">
        <w:r>
          <w:rPr>
            <w:rStyle w:val="Hyperlink"/>
          </w:rPr>
          <w:t xml:space="preserve">Baron-Cohen et al., 1993</w:t>
        </w:r>
      </w:hyperlink>
      <w:r>
        <w:t xml:space="preserve">)</w:t>
      </w:r>
      <w:r>
        <w:t xml:space="preserve">.</w:t>
      </w:r>
    </w:p>
    <w:bookmarkStart w:id="38" w:name="sec-consistency-tests"/>
    <w:p>
      <w:pPr>
        <w:pStyle w:val="Heading2"/>
      </w:pPr>
      <w:r>
        <w:t xml:space="preserve">Consistency tests</w:t>
      </w:r>
    </w:p>
    <w:p>
      <w:pPr>
        <w:pStyle w:val="FirstParagraph"/>
      </w:pPr>
      <w:r>
        <w:t xml:space="preserve">The rationale behind consistency tests is to measure the within subject</w:t>
      </w:r>
      <w:r>
        <w:t xml:space="preserve"> </w:t>
      </w:r>
      <w:r>
        <w:t xml:space="preserve">variability in</w:t>
      </w:r>
      <w:r>
        <w:t xml:space="preserve"> </w:t>
      </w:r>
      <w:r>
        <w:rPr>
          <w:i/>
          <w:iCs/>
        </w:rPr>
        <w:t xml:space="preserve">inducer</w:t>
      </w:r>
      <w:r>
        <w:t xml:space="preserve">-</w:t>
      </w:r>
      <w:r>
        <w:rPr>
          <w:i/>
          <w:iCs/>
        </w:rPr>
        <w:t xml:space="preserve">concurrent</w:t>
      </w:r>
      <w:r>
        <w:t xml:space="preserve"> </w:t>
      </w:r>
      <w:r>
        <w:t xml:space="preserve">associations over time.</w:t>
      </w:r>
      <w:r>
        <w:t xml:space="preserve"> </w:t>
      </w:r>
      <w:r>
        <w:t xml:space="preserve">Consistency tests test are usually used as an objective validation, or</w:t>
      </w:r>
      <w:r>
        <w:t xml:space="preserve"> </w:t>
      </w:r>
      <w:r>
        <w:t xml:space="preserve">genuineness, of self-reported synaesthetes, and therefore mainly useful</w:t>
      </w:r>
      <w:r>
        <w:t xml:space="preserve"> </w:t>
      </w:r>
      <w:r>
        <w:t xml:space="preserve">in experimental settings. Consistency tests have proven effective for</w:t>
      </w:r>
      <w:r>
        <w:t xml:space="preserve"> </w:t>
      </w:r>
      <w:r>
        <w:t xml:space="preserve">colour-grapheme synaesthesia. Measures of individual consistency can be</w:t>
      </w:r>
      <w:r>
        <w:t xml:space="preserve"> </w:t>
      </w:r>
      <w:r>
        <w:t xml:space="preserve">derived using colour pickers while repeatedly presenting the same</w:t>
      </w:r>
      <w:r>
        <w:t xml:space="preserve"> </w:t>
      </w:r>
      <w:r>
        <w:t xml:space="preserve">inducer (i.e. </w:t>
      </w:r>
      <w:r>
        <w:t xml:space="preserve">“A”</w:t>
      </w:r>
      <w:r>
        <w:t xml:space="preserve">). The quantification of the distance between</w:t>
      </w:r>
      <w:r>
        <w:t xml:space="preserve"> </w:t>
      </w:r>
      <w:r>
        <w:t xml:space="preserve">concurrents from the same inducers is used to discriminate consistent</w:t>
      </w:r>
      <w:r>
        <w:t xml:space="preserve"> </w:t>
      </w:r>
      <w:r>
        <w:t xml:space="preserve">synaesthetes from controls. Specifically, the euclidean distance in CIE</w:t>
      </w:r>
      <w:r>
        <w:t xml:space="preserve"> </w:t>
      </w:r>
      <w:r>
        <w:t xml:space="preserve">L*u*v colour space, which is designed for perceptual uniformity,</w:t>
      </w:r>
      <w:r>
        <w:t xml:space="preserve"> </w:t>
      </w:r>
      <w:r>
        <w:t xml:space="preserve">yields optimal classification accuracy when using a cut-off estimated as</w:t>
      </w:r>
      <w:r>
        <w:t xml:space="preserve"> </w:t>
      </w:r>
      <w:r>
        <w:t xml:space="preserve">deduced from a larger representative sample</w:t>
      </w:r>
      <w:r>
        <w:t xml:space="preserve"> </w:t>
      </w:r>
      <w:r>
        <w:t xml:space="preserve">(</w:t>
      </w:r>
      <w:hyperlink w:anchor="ref-rothen2013a">
        <w:r>
          <w:rPr>
            <w:rStyle w:val="Hyperlink"/>
          </w:rPr>
          <w:t xml:space="preserve">Rothen et al., 2013</w:t>
        </w:r>
      </w:hyperlink>
      <w:r>
        <w:t xml:space="preserve">)</w:t>
      </w:r>
      <w:r>
        <w:t xml:space="preserve">. A similar</w:t>
      </w:r>
      <w:r>
        <w:t xml:space="preserve"> </w:t>
      </w:r>
      <w:r>
        <w:t xml:space="preserve">rationale to that used for colour-grapheme synaesthesia has been applied</w:t>
      </w:r>
      <w:r>
        <w:t xml:space="preserve"> </w:t>
      </w:r>
      <w:r>
        <w:t xml:space="preserve">to characterize SSS from consistency tests.</w:t>
      </w:r>
    </w:p>
    <w:p>
      <w:pPr>
        <w:pStyle w:val="BodyText"/>
      </w:pPr>
      <w:r>
        <w:t xml:space="preserve">The task of SSS consistency test’s uses, instead of a colour picker, to</w:t>
      </w:r>
      <w:r>
        <w:t xml:space="preserve"> </w:t>
      </w:r>
      <w:r>
        <w:t xml:space="preserve">repeatedly position each inducer on the computer screen according to the</w:t>
      </w:r>
      <w:r>
        <w:t xml:space="preserve"> </w:t>
      </w:r>
      <w:r>
        <w:t xml:space="preserve">spatial location of their concurrent experience. Brang et</w:t>
      </w:r>
      <w:r>
        <w:t xml:space="preserve"> </w:t>
      </w:r>
      <w:r>
        <w:t xml:space="preserve">al.</w:t>
      </w:r>
      <w:r>
        <w:t xml:space="preserve">(</w:t>
      </w:r>
      <w:hyperlink w:anchor="ref-brang2010">
        <w:r>
          <w:rPr>
            <w:rStyle w:val="Hyperlink"/>
          </w:rPr>
          <w:t xml:space="preserve">2010</w:t>
        </w:r>
      </w:hyperlink>
      <w:r>
        <w:t xml:space="preserve">)</w:t>
      </w:r>
      <w:r>
        <w:t xml:space="preserve"> </w:t>
      </w:r>
      <w:r>
        <w:t xml:space="preserve">for example evaluated consistency as the distance</w:t>
      </w:r>
      <w:r>
        <w:t xml:space="preserve"> </w:t>
      </w:r>
      <w:r>
        <w:t xml:space="preserve">between repeated responses to the same inducer or stimuli (e.g. January</w:t>
      </w:r>
      <w:r>
        <w:t xml:space="preserve"> </w:t>
      </w:r>
      <w:r>
        <w:t xml:space="preserve">and January) relative to adjacent stimuli (e.g. February). A response</w:t>
      </w:r>
      <w:r>
        <w:t xml:space="preserve"> </w:t>
      </w:r>
      <w:r>
        <w:t xml:space="preserve">was defined as consistent if it fell within 1.96</w:t>
      </w:r>
      <w:r>
        <w:t xml:space="preserve"> </w:t>
      </w:r>
      <w:r>
        <w:rPr>
          <w:i/>
          <w:iCs/>
        </w:rPr>
        <w:t xml:space="preserve">z</w:t>
      </w:r>
      <w:r>
        <w:t xml:space="preserve"> </w:t>
      </w:r>
      <w:r>
        <w:t xml:space="preserve">scores. However,</w:t>
      </w:r>
      <w:r>
        <w:t xml:space="preserve"> </w:t>
      </w:r>
      <w:r>
        <w:t xml:space="preserve">this criterion was noted to be potentially too conservatory, as it</w:t>
      </w:r>
      <w:r>
        <w:t xml:space="preserve"> </w:t>
      </w:r>
      <w:r>
        <w:t xml:space="preserve">identified synaesthesia in 4 of 81 self-reported synaesthetes.</w:t>
      </w:r>
      <w:r>
        <w:t xml:space="preserve"> </w:t>
      </w:r>
      <w:r>
        <w:t xml:space="preserve">Geometrical features such as area and perimeter between the coordinates</w:t>
      </w:r>
      <w:r>
        <w:t xml:space="preserve"> </w:t>
      </w:r>
      <w:r>
        <w:t xml:space="preserve">of repeated inducers have been used as a measure of the distance between</w:t>
      </w:r>
      <w:r>
        <w:t xml:space="preserve"> </w:t>
      </w:r>
      <w:r>
        <w:t xml:space="preserve">same inducers, hence as a metric for consistency. Less consistent</w:t>
      </w:r>
      <w:r>
        <w:t xml:space="preserve"> </w:t>
      </w:r>
      <w:r>
        <w:t xml:space="preserve">responses leading to smaller triangle perimeters and area</w:t>
      </w:r>
      <w:r>
        <w:t xml:space="preserve"> </w:t>
      </w:r>
      <w:r>
        <w:t xml:space="preserve">(</w:t>
      </w:r>
      <w:hyperlink w:anchor="ref-rothen2016">
        <w:r>
          <w:rPr>
            <w:rStyle w:val="Hyperlink"/>
          </w:rPr>
          <w:t xml:space="preserve">Rothen et al., 2016a</w:t>
        </w:r>
      </w:hyperlink>
      <w:r>
        <w:t xml:space="preserve">)</w:t>
      </w:r>
      <w:r>
        <w:t xml:space="preserve">.</w:t>
      </w:r>
      <w:r>
        <w:t xml:space="preserve"> </w:t>
      </w:r>
      <w:r>
        <w:t xml:space="preserve">A cut-off corresponding to less than 0.203 % average responses area in</w:t>
      </w:r>
      <w:r>
        <w:t xml:space="preserve"> </w:t>
      </w:r>
      <w:r>
        <w:t xml:space="preserve">proportion to the total screen area to classify as SSS has been</w:t>
      </w:r>
      <w:r>
        <w:t xml:space="preserve"> </w:t>
      </w:r>
      <w:r>
        <w:t xml:space="preserve">suggested</w:t>
      </w:r>
      <w:r>
        <w:t xml:space="preserve"> </w:t>
      </w:r>
      <w:r>
        <w:t xml:space="preserve">(see also</w:t>
      </w:r>
      <w:r>
        <w:t xml:space="preserve"> </w:t>
      </w:r>
      <w:hyperlink w:anchor="ref-ward2018">
        <w:r>
          <w:rPr>
            <w:rStyle w:val="Hyperlink"/>
          </w:rPr>
          <w:t xml:space="preserve">Ward et al., 2018</w:t>
        </w:r>
      </w:hyperlink>
      <w:r>
        <w:t xml:space="preserve">)</w:t>
      </w:r>
      <w:r>
        <w:t xml:space="preserve">.</w:t>
      </w:r>
    </w:p>
    <w:p>
      <w:pPr>
        <w:pStyle w:val="BodyText"/>
      </w:pPr>
      <w:r>
        <w:t xml:space="preserve">However, several general caveats of consistency tasks using concurrent</w:t>
      </w:r>
      <w:r>
        <w:t xml:space="preserve"> </w:t>
      </w:r>
      <w:r>
        <w:t xml:space="preserve">or stimulus level metrics have been identified. Some geometrical</w:t>
      </w:r>
      <w:r>
        <w:t xml:space="preserve"> </w:t>
      </w:r>
      <w:r>
        <w:t xml:space="preserve">features may favour certain spatial-forms</w:t>
      </w:r>
      <w:r>
        <w:t xml:space="preserve"> </w:t>
      </w:r>
      <w:r>
        <w:t xml:space="preserve">(</w:t>
      </w:r>
      <w:hyperlink w:anchor="ref-ward2018">
        <w:r>
          <w:rPr>
            <w:rStyle w:val="Hyperlink"/>
          </w:rPr>
          <w:t xml:space="preserve">Ward et al., 2018</w:t>
        </w:r>
      </w:hyperlink>
      <w:r>
        <w:t xml:space="preserve">)</w:t>
      </w:r>
      <w:r>
        <w:t xml:space="preserve"> </w:t>
      </w:r>
      <w:r>
        <w:t xml:space="preserve">in particular</w:t>
      </w:r>
      <w:r>
        <w:t xml:space="preserve"> </w:t>
      </w:r>
      <w:r>
        <w:t xml:space="preserve">those with linear or highly regular spatial layouts, i.e. elliptical</w:t>
      </w:r>
      <w:r>
        <w:t xml:space="preserve"> </w:t>
      </w:r>
      <w:r>
        <w:t xml:space="preserve">patterns for months</w:t>
      </w:r>
      <w:r>
        <w:t xml:space="preserve"> </w:t>
      </w:r>
      <w:r>
        <w:t xml:space="preserve">(</w:t>
      </w:r>
      <w:hyperlink w:anchor="ref-brang2010">
        <w:r>
          <w:rPr>
            <w:rStyle w:val="Hyperlink"/>
          </w:rPr>
          <w:t xml:space="preserve">Brang et al., 2010</w:t>
        </w:r>
      </w:hyperlink>
      <w:r>
        <w:t xml:space="preserve">;</w:t>
      </w:r>
      <w:r>
        <w:t xml:space="preserve"> </w:t>
      </w:r>
      <w:hyperlink w:anchor="ref-eagleman2009a">
        <w:r>
          <w:rPr>
            <w:rStyle w:val="Hyperlink"/>
          </w:rPr>
          <w:t xml:space="preserve">Eagleman, 2009</w:t>
        </w:r>
      </w:hyperlink>
      <w:r>
        <w:t xml:space="preserve">;</w:t>
      </w:r>
      <w:r>
        <w:t xml:space="preserve"> </w:t>
      </w:r>
      <w:hyperlink w:anchor="ref-flournoy1893">
        <w:r>
          <w:rPr>
            <w:rStyle w:val="Hyperlink"/>
          </w:rPr>
          <w:t xml:space="preserve">Flournoy, 1893</w:t>
        </w:r>
      </w:hyperlink>
      <w:r>
        <w:t xml:space="preserve">)</w:t>
      </w:r>
      <w:r>
        <w:t xml:space="preserve">. Another</w:t>
      </w:r>
      <w:r>
        <w:t xml:space="preserve"> </w:t>
      </w:r>
      <w:r>
        <w:t xml:space="preserve">concern is that participants that respond always with the same position,</w:t>
      </w:r>
      <w:r>
        <w:t xml:space="preserve"> </w:t>
      </w:r>
      <w:r>
        <w:t xml:space="preserve">for example when not knowing the response, will have artificially high</w:t>
      </w:r>
      <w:r>
        <w:t xml:space="preserve"> </w:t>
      </w:r>
      <w:r>
        <w:t xml:space="preserve">consistencies with those metrics</w:t>
      </w:r>
      <w:r>
        <w:t xml:space="preserve"> </w:t>
      </w:r>
      <w:r>
        <w:t xml:space="preserve">(</w:t>
      </w:r>
      <w:hyperlink w:anchor="ref-rothen2016">
        <w:r>
          <w:rPr>
            <w:rStyle w:val="Hyperlink"/>
          </w:rPr>
          <w:t xml:space="preserve">Rothen et al., 2016a</w:t>
        </w:r>
      </w:hyperlink>
      <w:r>
        <w:t xml:space="preserve">)</w:t>
      </w:r>
      <w:r>
        <w:t xml:space="preserve">. This has led to</w:t>
      </w:r>
      <w:r>
        <w:t xml:space="preserve"> </w:t>
      </w:r>
      <w:r>
        <w:t xml:space="preserve">alternative approaches such as to add tthe standard deviation of</w:t>
      </w:r>
      <w:r>
        <w:t xml:space="preserve"> </w:t>
      </w:r>
      <w:r>
        <w:t xml:space="preserve">responses, questionnaire cut-off</w:t>
      </w:r>
      <w:r>
        <w:t xml:space="preserve"> </w:t>
      </w:r>
      <w:r>
        <w:t xml:space="preserve">(</w:t>
      </w:r>
      <w:hyperlink w:anchor="ref-ward2018">
        <w:r>
          <w:rPr>
            <w:rStyle w:val="Hyperlink"/>
          </w:rPr>
          <w:t xml:space="preserve">Ward et al., 2018</w:t>
        </w:r>
      </w:hyperlink>
      <w:r>
        <w:t xml:space="preserve">)</w:t>
      </w:r>
      <w:r>
        <w:t xml:space="preserve"> </w:t>
      </w:r>
      <w:r>
        <w:t xml:space="preserve">or permutation-based</w:t>
      </w:r>
      <w:r>
        <w:t xml:space="preserve"> </w:t>
      </w:r>
      <w:r>
        <w:t xml:space="preserve">comparison of individual responses to chance levels for colour-grapheme</w:t>
      </w:r>
      <w:r>
        <w:t xml:space="preserve"> </w:t>
      </w:r>
      <w:r>
        <w:t xml:space="preserve">(</w:t>
      </w:r>
      <w:hyperlink w:anchor="ref-root2021">
        <w:r>
          <w:rPr>
            <w:rStyle w:val="Hyperlink"/>
          </w:rPr>
          <w:t xml:space="preserve">Root et al., 2021</w:t>
        </w:r>
      </w:hyperlink>
      <w:r>
        <w:t xml:space="preserve">)</w:t>
      </w:r>
      <w:r>
        <w:t xml:space="preserve"> </w:t>
      </w:r>
      <w:r>
        <w:t xml:space="preserve">and SSS</w:t>
      </w:r>
      <w:r>
        <w:t xml:space="preserve"> </w:t>
      </w:r>
      <w:r>
        <w:t xml:space="preserve">(</w:t>
      </w:r>
      <w:hyperlink w:anchor="ref-ward2022a">
        <w:r>
          <w:rPr>
            <w:rStyle w:val="Hyperlink"/>
          </w:rPr>
          <w:t xml:space="preserve">Ward, 2022</w:t>
        </w:r>
      </w:hyperlink>
      <w:r>
        <w:t xml:space="preserve">)</w:t>
      </w:r>
      <w:r>
        <w:t xml:space="preserve">.</w:t>
      </w:r>
    </w:p>
    <w:bookmarkEnd w:id="38"/>
    <w:bookmarkStart w:id="40" w:name="present-study"/>
    <w:p>
      <w:pPr>
        <w:pStyle w:val="Heading2"/>
      </w:pPr>
      <w:r>
        <w:t xml:space="preserve">Present study</w:t>
      </w:r>
    </w:p>
    <w:p>
      <w:pPr>
        <w:pStyle w:val="FirstParagraph"/>
      </w:pPr>
      <w:r>
        <w:t xml:space="preserve">The goal of this registered report is to compare different consistency</w:t>
      </w:r>
      <w:r>
        <w:t xml:space="preserve"> </w:t>
      </w:r>
      <w:r>
        <w:t xml:space="preserve">features on their classification performances of individuals with SSS</w:t>
      </w:r>
      <w:r>
        <w:t xml:space="preserve"> </w:t>
      </w:r>
      <w:r>
        <w:t xml:space="preserve">and controls using Receiver Operator Characteristics (ROC) analyses. In</w:t>
      </w:r>
      <w:r>
        <w:t xml:space="preserve"> </w:t>
      </w:r>
      <w:r>
        <w:t xml:space="preserve">the present</w:t>
      </w:r>
      <w:r>
        <w:t xml:space="preserve"> </w:t>
      </w:r>
      <w:r>
        <w:rPr>
          <w:i/>
          <w:iCs/>
        </w:rPr>
        <w:t xml:space="preserve">Phase I</w:t>
      </w:r>
      <w:r>
        <w:t xml:space="preserve">, we merge four previously available datasets to</w:t>
      </w:r>
      <w:r>
        <w:t xml:space="preserve"> </w:t>
      </w:r>
      <w:r>
        <w:t xml:space="preserve">replicate established consistency test methods from the literature and</w:t>
      </w:r>
      <w:r>
        <w:t xml:space="preserve"> </w:t>
      </w:r>
      <w:r>
        <w:t xml:space="preserve">to evaluate additional, novel features. These new features are designed</w:t>
      </w:r>
      <w:r>
        <w:t xml:space="preserve"> </w:t>
      </w:r>
      <w:r>
        <w:t xml:space="preserve">to take advantage of the sequentiality or ordinality between the</w:t>
      </w:r>
      <w:r>
        <w:t xml:space="preserve"> </w:t>
      </w:r>
      <w:r>
        <w:t xml:space="preserve">responses and the geometrical properties of these spatial forms.</w:t>
      </w:r>
    </w:p>
    <w:p>
      <w:pPr>
        <w:pStyle w:val="BodyText"/>
      </w:pPr>
      <w:r>
        <w:t xml:space="preserve">Synesthetic spatial forms follow ordinal rules (e.g. Monday → Tuesday →</w:t>
      </w:r>
      <w:r>
        <w:t xml:space="preserve"> </w:t>
      </w:r>
      <w:r>
        <w:t xml:space="preserve">Wednesday). In the domain of numerical cognition, ordinality has been</w:t>
      </w:r>
      <w:r>
        <w:t xml:space="preserve"> </w:t>
      </w:r>
      <w:r>
        <w:t xml:space="preserve">identified as an important information when processing sequences</w:t>
      </w:r>
      <w:r>
        <w:t xml:space="preserve"> </w:t>
      </w:r>
      <w:r>
        <w:t xml:space="preserve">(</w:t>
      </w:r>
      <w:hyperlink w:anchor="ref-lyons2013">
        <w:r>
          <w:rPr>
            <w:rStyle w:val="Hyperlink"/>
          </w:rPr>
          <w:t xml:space="preserve">Lyons &amp; Beilock, 2013</w:t>
        </w:r>
      </w:hyperlink>
      <w:r>
        <w:t xml:space="preserve">)</w:t>
      </w:r>
      <w:r>
        <w:t xml:space="preserve">. Some studies of SSS have systematically investigated</w:t>
      </w:r>
      <w:r>
        <w:t xml:space="preserve"> </w:t>
      </w:r>
      <w:r>
        <w:t xml:space="preserve">ordinality by investigating metrics of adjacent inducer-concurrent pairs</w:t>
      </w:r>
      <w:r>
        <w:t xml:space="preserve"> </w:t>
      </w:r>
      <w:r>
        <w:t xml:space="preserve">such as distances</w:t>
      </w:r>
      <w:r>
        <w:t xml:space="preserve"> </w:t>
      </w:r>
      <w:r>
        <w:t xml:space="preserve">(</w:t>
      </w:r>
      <w:hyperlink w:anchor="ref-brang2010">
        <w:r>
          <w:rPr>
            <w:rStyle w:val="Hyperlink"/>
          </w:rPr>
          <w:t xml:space="preserve">Brang et al., 2010</w:t>
        </w:r>
      </w:hyperlink>
      <w:r>
        <w:t xml:space="preserve">)</w:t>
      </w:r>
      <w:r>
        <w:t xml:space="preserve"> </w:t>
      </w:r>
      <w:r>
        <w:t xml:space="preserve">or angles</w:t>
      </w:r>
      <w:r>
        <w:t xml:space="preserve"> </w:t>
      </w:r>
      <w:r>
        <w:t xml:space="preserve">(</w:t>
      </w:r>
      <w:hyperlink w:anchor="ref-eagleman2009a">
        <w:r>
          <w:rPr>
            <w:rStyle w:val="Hyperlink"/>
          </w:rPr>
          <w:t xml:space="preserve">Eagleman, 2009</w:t>
        </w:r>
      </w:hyperlink>
      <w:r>
        <w:t xml:space="preserve">)</w:t>
      </w:r>
      <w:r>
        <w:t xml:space="preserve">. However,</w:t>
      </w:r>
      <w:r>
        <w:t xml:space="preserve"> </w:t>
      </w:r>
      <w:r>
        <w:t xml:space="preserve">ordinality of the concurrent space-form might be particularly relevant</w:t>
      </w:r>
      <w:r>
        <w:t xml:space="preserve"> </w:t>
      </w:r>
      <w:r>
        <w:t xml:space="preserve">considering all the stimuli of a certain category (i.e. weekdays or</w:t>
      </w:r>
      <w:r>
        <w:t xml:space="preserve"> </w:t>
      </w:r>
      <w:r>
        <w:t xml:space="preserve">months). The spatial forms of the concurrents is oft spatially</w:t>
      </w:r>
      <w:r>
        <w:t xml:space="preserve"> </w:t>
      </w:r>
      <w:r>
        <w:t xml:space="preserve">structured into configuration such as lines or polygons that may follow</w:t>
      </w:r>
      <w:r>
        <w:t xml:space="preserve"> </w:t>
      </w:r>
      <w:r>
        <w:t xml:space="preserve">distinctive geometrical rules. For example linear layouts have been</w:t>
      </w:r>
      <w:r>
        <w:t xml:space="preserve"> </w:t>
      </w:r>
      <w:r>
        <w:t xml:space="preserve">described in early accounts of number forms</w:t>
      </w:r>
      <w:r>
        <w:t xml:space="preserve"> </w:t>
      </w:r>
      <w:r>
        <w:t xml:space="preserve">(</w:t>
      </w:r>
      <w:hyperlink w:anchor="ref-flournoy1893">
        <w:r>
          <w:rPr>
            <w:rStyle w:val="Hyperlink"/>
          </w:rPr>
          <w:t xml:space="preserve">Flournoy, 1893</w:t>
        </w:r>
      </w:hyperlink>
      <w:r>
        <w:t xml:space="preserve">;</w:t>
      </w:r>
      <w:r>
        <w:t xml:space="preserve"> </w:t>
      </w:r>
      <w:hyperlink w:anchor="ref-galton1880">
        <w:r>
          <w:rPr>
            <w:rStyle w:val="Hyperlink"/>
          </w:rPr>
          <w:t xml:space="preserve">Galton, 1880</w:t>
        </w:r>
      </w:hyperlink>
      <w:r>
        <w:t xml:space="preserve">)</w:t>
      </w:r>
      <w:r>
        <w:t xml:space="preserve">.</w:t>
      </w:r>
    </w:p>
    <w:p>
      <w:pPr>
        <w:pStyle w:val="BodyText"/>
      </w:pPr>
      <w:r>
        <w:t xml:space="preserve">In the present</w:t>
      </w:r>
      <w:r>
        <w:t xml:space="preserve"> </w:t>
      </w:r>
      <w:r>
        <w:rPr>
          <w:i/>
          <w:iCs/>
        </w:rPr>
        <w:t xml:space="preserve">phase I</w:t>
      </w:r>
      <w:r>
        <w:t xml:space="preserve">, we compare ROC on three merged datasets using</w:t>
      </w:r>
      <w:r>
        <w:t xml:space="preserve"> </w:t>
      </w:r>
      <w:r>
        <w:t xml:space="preserve">the same task on both SSS and control groups</w:t>
      </w:r>
      <w:r>
        <w:t xml:space="preserve"> </w:t>
      </w:r>
      <w:r>
        <w:t xml:space="preserve">Ward (</w:t>
      </w:r>
      <w:hyperlink w:anchor="ref-ward2022a">
        <w:r>
          <w:rPr>
            <w:rStyle w:val="Hyperlink"/>
          </w:rPr>
          <w:t xml:space="preserve">2022</w:t>
        </w:r>
      </w:hyperlink>
      <w:r>
        <w:t xml:space="preserve">)</w:t>
      </w:r>
      <w:r>
        <w:t xml:space="preserve">. Several analytical approaches were evaluated. First,</w:t>
      </w:r>
      <w:r>
        <w:t xml:space="preserve"> </w:t>
      </w:r>
      <w:r>
        <w:t xml:space="preserve">we aimed to reproduce the diagnostic criteria based on stimulus-level</w:t>
      </w:r>
      <w:r>
        <w:t xml:space="preserve"> </w:t>
      </w:r>
      <w:r>
        <w:t xml:space="preserve">consistency metrics, such as area and perimeter. Second, we explored a</w:t>
      </w:r>
      <w:r>
        <w:t xml:space="preserve"> </w:t>
      </w:r>
      <w:r>
        <w:t xml:space="preserve">new approach base on comparing geometrical features across repetitions</w:t>
      </w:r>
      <w:r>
        <w:t xml:space="preserve"> </w:t>
      </w:r>
      <w:r>
        <w:t xml:space="preserve">of the same categories (weekday, month and numbers). Individual</w:t>
      </w:r>
      <w:r>
        <w:t xml:space="preserve"> </w:t>
      </w:r>
      <w:r>
        <w:t xml:space="preserve">geometrical features are then compared using ROC analyses on their</w:t>
      </w:r>
      <w:r>
        <w:t xml:space="preserve"> </w:t>
      </w:r>
      <w:r>
        <w:t xml:space="preserve">correct classification performances of pre-defined SSS and control</w:t>
      </w:r>
      <w:r>
        <w:t xml:space="preserve"> </w:t>
      </w:r>
      <w:r>
        <w:t xml:space="preserve">groups.</w:t>
      </w:r>
    </w:p>
    <w:p>
      <w:pPr>
        <w:pStyle w:val="BodyText"/>
      </w:pPr>
      <w:r>
        <w:t xml:space="preserve">In a future</w:t>
      </w:r>
      <w:r>
        <w:t xml:space="preserve"> </w:t>
      </w:r>
      <w:r>
        <w:rPr>
          <w:i/>
          <w:iCs/>
        </w:rPr>
        <w:t xml:space="preserve">phase II</w:t>
      </w:r>
      <w:r>
        <w:t xml:space="preserve">, we will assess whether the features identified</w:t>
      </w:r>
      <w:r>
        <w:t xml:space="preserve"> </w:t>
      </w:r>
      <w:r>
        <w:rPr>
          <w:i/>
          <w:iCs/>
        </w:rPr>
        <w:t xml:space="preserve">Phase I</w:t>
      </w:r>
      <w:r>
        <w:t xml:space="preserve"> </w:t>
      </w:r>
      <w:r>
        <w:t xml:space="preserve">generalize and are validated on an independent dataset that is</w:t>
      </w:r>
      <w:r>
        <w:t xml:space="preserve"> </w:t>
      </w:r>
      <w:r>
        <w:t xml:space="preserve">yet to be acquired (registered report on the Open Science Framework:</w:t>
      </w:r>
      <w:r>
        <w:t xml:space="preserve"> </w:t>
      </w:r>
      <w:hyperlink r:id="rId39">
        <w:r>
          <w:rPr>
            <w:rStyle w:val="Hyperlink"/>
          </w:rPr>
          <w:t xml:space="preserve">https://osf.io/9efjb/</w:t>
        </w:r>
      </w:hyperlink>
      <w:r>
        <w:rPr>
          <w:b/>
          <w:bCs/>
        </w:rPr>
        <w:t xml:space="preserve">).</w:t>
      </w:r>
    </w:p>
    <w:bookmarkEnd w:id="40"/>
    <w:bookmarkEnd w:id="41"/>
    <w:bookmarkStart w:id="59" w:name="phase-i.-methods"/>
    <w:p>
      <w:pPr>
        <w:pStyle w:val="Heading1"/>
      </w:pPr>
      <w:r>
        <w:rPr>
          <w:i/>
          <w:iCs/>
        </w:rPr>
        <w:t xml:space="preserve">Phase I.</w:t>
      </w:r>
      <w:r>
        <w:t xml:space="preserve"> </w:t>
      </w:r>
      <w:r>
        <w:t xml:space="preserve">Methods</w:t>
      </w:r>
    </w:p>
    <w:bookmarkStart w:id="45" w:name="phase-i.-datasets"/>
    <w:p>
      <w:pPr>
        <w:pStyle w:val="Heading2"/>
      </w:pPr>
      <w:r>
        <w:rPr>
          <w:i/>
          <w:iCs/>
        </w:rPr>
        <w:t xml:space="preserve">Phase I.</w:t>
      </w:r>
      <w:r>
        <w:t xml:space="preserve"> </w:t>
      </w:r>
      <w:r>
        <w:t xml:space="preserve">Datasets</w:t>
      </w:r>
    </w:p>
    <w:p>
      <w:pPr>
        <w:pStyle w:val="FirstParagraph"/>
      </w:pPr>
      <w:r>
        <w:t xml:space="preserve">We merged four datasets. Two datasets were collected in laboratory</w:t>
      </w:r>
      <w:r>
        <w:t xml:space="preserve"> </w:t>
      </w:r>
      <w:r>
        <w:t xml:space="preserve">settings [</w:t>
      </w:r>
      <w:r>
        <w:t xml:space="preserve"> </w:t>
      </w:r>
      <w:r>
        <w:t xml:space="preserve">Rothen et al. (</w:t>
      </w:r>
      <w:hyperlink w:anchor="ref-rothen2016">
        <w:r>
          <w:rPr>
            <w:rStyle w:val="Hyperlink"/>
          </w:rPr>
          <w:t xml:space="preserve">2016a</w:t>
        </w:r>
      </w:hyperlink>
      <w:r>
        <w:t xml:space="preserve">)</w:t>
      </w:r>
      <w:r>
        <w:t xml:space="preserve"> </w:t>
      </w:r>
      <w:r>
        <w:t xml:space="preserve">data in</w:t>
      </w:r>
      <w:r>
        <w:t xml:space="preserve"> </w:t>
      </w:r>
      <w:hyperlink r:id="rId42">
        <w:r>
          <w:rPr>
            <w:rStyle w:val="Hyperlink"/>
          </w:rPr>
          <w:t xml:space="preserve">https://osf.io/6hq94/files/osfstorage</w:t>
        </w:r>
      </w:hyperlink>
      <w:r>
        <w:t xml:space="preserve"> </w:t>
      </w:r>
      <w:r>
        <w:t xml:space="preserve">and</w:t>
      </w:r>
      <w:r>
        <w:t xml:space="preserve"> </w:t>
      </w:r>
      <w:r>
        <w:t xml:space="preserve">Van Petersen et al. (</w:t>
      </w:r>
      <w:hyperlink w:anchor="ref-vanpetersen2020">
        <w:r>
          <w:rPr>
            <w:rStyle w:val="Hyperlink"/>
          </w:rPr>
          <w:t xml:space="preserve">2020b</w:t>
        </w:r>
      </w:hyperlink>
      <w:r>
        <w:t xml:space="preserve">)</w:t>
      </w:r>
      <w:r>
        <w:t xml:space="preserve"> </w:t>
      </w:r>
      <w:r>
        <w:t xml:space="preserve">data in</w:t>
      </w:r>
      <w:r>
        <w:t xml:space="preserve"> </w:t>
      </w:r>
      <w:hyperlink r:id="rId43">
        <w:r>
          <w:rPr>
            <w:rStyle w:val="Hyperlink"/>
          </w:rPr>
          <w:t xml:space="preserve">https://data.ru.nl/collections/di/dcc/DSC_2018.00019_653</w:t>
        </w:r>
      </w:hyperlink>
      <w:r>
        <w:t xml:space="preserve">]. The two</w:t>
      </w:r>
      <w:r>
        <w:t xml:space="preserve"> </w:t>
      </w:r>
      <w:r>
        <w:t xml:space="preserve">others come from on-line testing [</w:t>
      </w:r>
      <w:r>
        <w:t xml:space="preserve">Ward (</w:t>
      </w:r>
      <w:hyperlink w:anchor="ref-ward2022a">
        <w:r>
          <w:rPr>
            <w:rStyle w:val="Hyperlink"/>
          </w:rPr>
          <w:t xml:space="preserve">2022</w:t>
        </w:r>
      </w:hyperlink>
      <w:r>
        <w:t xml:space="preserve">)</w:t>
      </w:r>
      <w:r>
        <w:t xml:space="preserve">; data in</w:t>
      </w:r>
      <w:r>
        <w:t xml:space="preserve"> </w:t>
      </w:r>
      <w:hyperlink r:id="rId44">
        <w:r>
          <w:rPr>
            <w:rStyle w:val="Hyperlink"/>
          </w:rPr>
          <w:t xml:space="preserve">https://osf.io/nu5v4/overview</w:t>
        </w:r>
      </w:hyperlink>
      <w:r>
        <w:t xml:space="preserve">] and additional dataset gently provided</w:t>
      </w:r>
      <w:r>
        <w:t xml:space="preserve"> </w:t>
      </w:r>
      <w:r>
        <w:t xml:space="preserve">by private communications with Pr. Ward. To match the other datasets,</w:t>
      </w:r>
      <w:r>
        <w:t xml:space="preserve"> </w:t>
      </w:r>
      <w:r>
        <w:t xml:space="preserve">stimuli form</w:t>
      </w:r>
      <w:r>
        <w:t xml:space="preserve"> </w:t>
      </w:r>
      <w:r>
        <w:t xml:space="preserve">(</w:t>
      </w:r>
      <w:hyperlink w:anchor="ref-vanpetersen2020">
        <w:r>
          <w:rPr>
            <w:rStyle w:val="Hyperlink"/>
          </w:rPr>
          <w:t xml:space="preserve">Van Petersen et al., 2020b</w:t>
        </w:r>
      </w:hyperlink>
      <w:r>
        <w:t xml:space="preserve">)</w:t>
      </w:r>
      <w:r>
        <w:t xml:space="preserve"> </w:t>
      </w:r>
      <w:r>
        <w:t xml:space="preserve">are translated from Dutch to English and</w:t>
      </w:r>
      <w:r>
        <w:t xml:space="preserve"> </w:t>
      </w:r>
      <w:r>
        <w:t xml:space="preserve">for the stimuli, only numbers from 0 to 9 are included here (excluding</w:t>
      </w:r>
      <w:r>
        <w:t xml:space="preserve"> </w:t>
      </w:r>
      <w:r>
        <w:t xml:space="preserve">50 and 100). The demographics for each datasets can be found in</w:t>
      </w:r>
      <w:r>
        <w:t xml:space="preserve"> </w:t>
      </w:r>
      <w:hyperlink w:anchor="tbl-mytable1">
        <w:r>
          <w:rPr>
            <w:rStyle w:val="Hyperlink"/>
          </w:rPr>
          <w:t xml:space="preserve">Table 1</w:t>
        </w:r>
      </w:hyperlink>
      <w:r>
        <w:t xml:space="preserve">.</w:t>
      </w:r>
    </w:p>
    <w:bookmarkEnd w:id="45"/>
    <w:bookmarkStart w:id="46" w:name="phase-i.-participants"/>
    <w:p>
      <w:pPr>
        <w:pStyle w:val="Heading2"/>
      </w:pPr>
      <w:r>
        <w:rPr>
          <w:i/>
          <w:iCs/>
        </w:rPr>
        <w:t xml:space="preserve">Phase I.</w:t>
      </w:r>
      <w:r>
        <w:t xml:space="preserve"> </w:t>
      </w:r>
      <w:r>
        <w:t xml:space="preserve">Participants</w:t>
      </w:r>
    </w:p>
    <w:p>
      <w:pPr>
        <w:pStyle w:val="FirstParagraph"/>
      </w:pPr>
      <w:r>
        <w:t xml:space="preserve">We kept 685 from the total 689 participants. First, we excluded</w:t>
      </w:r>
      <w:r>
        <w:t xml:space="preserve"> </w:t>
      </w:r>
      <w:r>
        <w:t xml:space="preserve">0.02 % empty trials (i.e. skipped</w:t>
      </w:r>
      <w:r>
        <w:t xml:space="preserve"> </w:t>
      </w:r>
      <w:r>
        <w:t xml:space="preserve">responses) including trials flagged for having the same x or y</w:t>
      </w:r>
      <w:r>
        <w:t xml:space="preserve"> </w:t>
      </w:r>
      <w:r>
        <w:t xml:space="preserve">coordinates across conditions and repetitions, causing the depletion of</w:t>
      </w:r>
      <w:r>
        <w:t xml:space="preserve"> </w:t>
      </w:r>
      <w:r>
        <w:t xml:space="preserve">2 participants</w:t>
      </w:r>
      <w:r>
        <w:t xml:space="preserve">(as in</w:t>
      </w:r>
      <w:r>
        <w:t xml:space="preserve"> </w:t>
      </w:r>
      <w:hyperlink w:anchor="ref-rothen2016a">
        <w:r>
          <w:rPr>
            <w:rStyle w:val="Hyperlink"/>
          </w:rPr>
          <w:t xml:space="preserve">Rothen et al., 2016b</w:t>
        </w:r>
      </w:hyperlink>
      <w:r>
        <w:t xml:space="preserve">;</w:t>
      </w:r>
      <w:r>
        <w:t xml:space="preserve"> </w:t>
      </w:r>
      <w:hyperlink w:anchor="ref-ward2018">
        <w:r>
          <w:rPr>
            <w:rStyle w:val="Hyperlink"/>
          </w:rPr>
          <w:t xml:space="preserve">Ward et al., 2018</w:t>
        </w:r>
      </w:hyperlink>
      <w:r>
        <w:t xml:space="preserve">)</w:t>
      </w:r>
      <w:r>
        <w:t xml:space="preserve">. An additional</w:t>
      </w:r>
      <w:r>
        <w:t xml:space="preserve"> </w:t>
      </w:r>
      <w:r>
        <w:t xml:space="preserve">2 participants were excluded for having less than 4 coordinate</w:t>
      </w:r>
      <w:r>
        <w:t xml:space="preserve"> </w:t>
      </w:r>
      <w:r>
        <w:t xml:space="preserve">points since polygons need at least 4 coordinates, see</w:t>
      </w:r>
      <w:r>
        <w:t xml:space="preserve"> </w:t>
      </w:r>
      <w:hyperlink w:anchor="sec-category-level-additional-features">
        <w:r>
          <w:rPr>
            <w:rStyle w:val="Hyperlink"/>
          </w:rPr>
          <w:t xml:space="preserve">Section 2.5.3</w:t>
        </w:r>
      </w:hyperlink>
      <w:r>
        <w:t xml:space="preserve">. Note therefore, that</w:t>
      </w:r>
      <w:r>
        <w:t xml:space="preserve"> </w:t>
      </w:r>
      <w:r>
        <w:t xml:space="preserve">31 participants of the final sample do not have</w:t>
      </w:r>
      <w:r>
        <w:t xml:space="preserve"> </w:t>
      </w:r>
      <w:r>
        <w:t xml:space="preserve">responses in all three conditions X repetition cases. x and y</w:t>
      </w:r>
      <w:r>
        <w:t xml:space="preserve"> </w:t>
      </w:r>
      <w:r>
        <w:t xml:space="preserve">coordinates were then separately normalized (</w:t>
      </w:r>
      <w:r>
        <w:rPr>
          <w:i/>
          <w:iCs/>
        </w:rPr>
        <w:t xml:space="preserve">z</w:t>
      </w:r>
      <w:r>
        <w:t xml:space="preserve">-score) per participant.</w:t>
      </w:r>
    </w:p>
    <w:p>
      <w:pPr>
        <w:pStyle w:val="BodyText"/>
      </w:pPr>
      <w:r>
        <w:t xml:space="preserve">From the final sample of N = 685,</w:t>
      </w:r>
      <w:r>
        <w:t xml:space="preserve"> </w:t>
      </w:r>
      <w:r>
        <w:t xml:space="preserve">396 were synaesthetes and</w:t>
      </w:r>
      <w:r>
        <w:t xml:space="preserve"> </w:t>
      </w:r>
      <w:r>
        <w:t xml:space="preserve">289 controls.</w:t>
      </w:r>
      <w:r>
        <w:t xml:space="preserve"> </w:t>
      </w:r>
      <w:hyperlink w:anchor="tbl-mytb2">
        <w:r>
          <w:rPr>
            <w:rStyle w:val="Hyperlink"/>
          </w:rPr>
          <w:t xml:space="preserve">Table 2</w:t>
        </w:r>
      </w:hyperlink>
      <w:r>
        <w:t xml:space="preserve"> </w:t>
      </w:r>
      <w:r>
        <w:t xml:space="preserve">breaks down the number</w:t>
      </w:r>
      <w:r>
        <w:t xml:space="preserve"> </w:t>
      </w:r>
      <w:r>
        <w:t xml:space="preserve">of synaesthetes and control contributed that are included in the</w:t>
      </w:r>
      <w:r>
        <w:t xml:space="preserve"> </w:t>
      </w:r>
      <w:r>
        <w:t xml:space="preserve">following analyses.</w:t>
      </w:r>
    </w:p>
    <w:p>
      <w:pPr>
        <w:pStyle w:val="BodyText"/>
      </w:pPr>
      <w:r>
        <w:t xml:space="preserve">Regarding the synaestheses profiles, we are limited in precise</w:t>
      </w:r>
      <w:r>
        <w:t xml:space="preserve"> </w:t>
      </w:r>
      <w:r>
        <w:t xml:space="preserve">descriptions from the data by Pr. Ward (i.e.</w:t>
      </w:r>
      <w:r>
        <w:t xml:space="preserve"> </w:t>
      </w:r>
      <w:r>
        <w:t xml:space="preserve">573 participants) since it</w:t>
      </w:r>
      <w:r>
        <w:t xml:space="preserve"> </w:t>
      </w:r>
      <w:r>
        <w:t xml:space="preserve">also included questionnaire responses. We describe the self-reported</w:t>
      </w:r>
      <w:r>
        <w:t xml:space="preserve"> </w:t>
      </w:r>
      <w:r>
        <w:t xml:space="preserve">profiles for the stimulus categories used in the consistency test (i.e.</w:t>
      </w:r>
      <w:r>
        <w:t xml:space="preserve"> </w:t>
      </w:r>
      <w:r>
        <w:t xml:space="preserve">number, weekdays and month), see</w:t>
      </w:r>
      <w:r>
        <w:t xml:space="preserve"> </w:t>
      </w:r>
      <w:hyperlink w:anchor="fig-myplot1">
        <w:r>
          <w:rPr>
            <w:rStyle w:val="Hyperlink"/>
          </w:rPr>
          <w:t xml:space="preserve">Figure 1</w:t>
        </w:r>
      </w:hyperlink>
      <w:r>
        <w:t xml:space="preserve">. From this venn-diagram we</w:t>
      </w:r>
      <w:r>
        <w:t xml:space="preserve"> </w:t>
      </w:r>
      <w:r>
        <w:t xml:space="preserve">see that 240 of the SSS report having spatial-forms for Numbers, Days</w:t>
      </w:r>
      <w:r>
        <w:t xml:space="preserve"> </w:t>
      </w:r>
      <w:r>
        <w:t xml:space="preserve">and Month; 42 only Days and Month; 21 only Number and Day. Also, 127</w:t>
      </w:r>
      <w:r>
        <w:t xml:space="preserve"> </w:t>
      </w:r>
      <w:r>
        <w:t xml:space="preserve">controls report spatial-forms for either Days, Numbers, Months or</w:t>
      </w:r>
      <w:r>
        <w:t xml:space="preserve"> </w:t>
      </w:r>
      <w:r>
        <w:t xml:space="preserve">combinations.</w:t>
      </w:r>
    </w:p>
    <w:bookmarkEnd w:id="46"/>
    <w:bookmarkStart w:id="47" w:name="phase-i.-procedure"/>
    <w:p>
      <w:pPr>
        <w:pStyle w:val="Heading2"/>
      </w:pPr>
      <w:r>
        <w:rPr>
          <w:i/>
          <w:iCs/>
        </w:rPr>
        <w:t xml:space="preserve">Phase I.</w:t>
      </w:r>
      <w:r>
        <w:t xml:space="preserve"> </w:t>
      </w:r>
      <w:r>
        <w:t xml:space="preserve">Procedure</w:t>
      </w:r>
    </w:p>
    <w:p>
      <w:pPr>
        <w:pStyle w:val="FirstParagraph"/>
      </w:pPr>
      <w:r>
        <w:t xml:space="preserve">For the consistency test, each stimuli is presented randomly and</w:t>
      </w:r>
      <w:r>
        <w:t xml:space="preserve"> </w:t>
      </w:r>
      <w:r>
        <w:t xml:space="preserve">sequentially centrally on the screen. Participant are instructed to</w:t>
      </w:r>
      <w:r>
        <w:t xml:space="preserve"> </w:t>
      </w:r>
      <w:r>
        <w:t xml:space="preserve">click on the screen position where they visualize them. In Van Petersen</w:t>
      </w:r>
      <w:r>
        <w:t xml:space="preserve"> </w:t>
      </w:r>
      <w:r>
        <w:t xml:space="preserve">et al.,</w:t>
      </w:r>
      <w:r>
        <w:t xml:space="preserve"> </w:t>
      </w:r>
      <w:r>
        <w:t xml:space="preserve">(</w:t>
      </w:r>
      <w:hyperlink w:anchor="ref-vanpetersen2020">
        <w:r>
          <w:rPr>
            <w:rStyle w:val="Hyperlink"/>
          </w:rPr>
          <w:t xml:space="preserve">2020b</w:t>
        </w:r>
      </w:hyperlink>
      <w:r>
        <w:t xml:space="preserve">)</w:t>
      </w:r>
      <w:r>
        <w:t xml:space="preserve"> </w:t>
      </w:r>
      <w:r>
        <w:t xml:space="preserve">and Rothen</w:t>
      </w:r>
      <w:r>
        <w:t xml:space="preserve"> </w:t>
      </w:r>
      <w:r>
        <w:t xml:space="preserve">(</w:t>
      </w:r>
      <w:hyperlink w:anchor="ref-rothen2016">
        <w:r>
          <w:rPr>
            <w:rStyle w:val="Hyperlink"/>
          </w:rPr>
          <w:t xml:space="preserve">2016a</w:t>
        </w:r>
      </w:hyperlink>
      <w:r>
        <w:t xml:space="preserve">)</w:t>
      </w:r>
      <w:r>
        <w:t xml:space="preserve"> </w:t>
      </w:r>
      <w:r>
        <w:t xml:space="preserve">the participants</w:t>
      </w:r>
      <w:r>
        <w:t xml:space="preserve"> </w:t>
      </w:r>
      <w:r>
        <w:t xml:space="preserve">were allowed to skip responses.</w:t>
      </w:r>
    </w:p>
    <w:p>
      <w:pPr>
        <w:pStyle w:val="BodyText"/>
      </w:pPr>
      <w:r>
        <w:t xml:space="preserve">Stimulus included here are 7 weekdays (Monday to Sunday), 12 months</w:t>
      </w:r>
      <w:r>
        <w:t xml:space="preserve"> </w:t>
      </w:r>
      <w:r>
        <w:t xml:space="preserve">(January to December) and 9 numbers (0 to 9). For Ward’s data the</w:t>
      </w:r>
      <w:r>
        <w:t xml:space="preserve"> </w:t>
      </w:r>
      <w:r>
        <w:t xml:space="preserve">stimuli were presented in randomized order with the constraint that no</w:t>
      </w:r>
      <w:r>
        <w:t xml:space="preserve"> </w:t>
      </w:r>
      <w:r>
        <w:t xml:space="preserve">stimulus was repeated until all unique stimuli (N = 29) had been</w:t>
      </w:r>
      <w:r>
        <w:t xml:space="preserve"> </w:t>
      </w:r>
      <w:r>
        <w:t xml:space="preserve">presented once. The median display resolution was 1440 X</w:t>
      </w:r>
      <w:r>
        <w:t xml:space="preserve"> </w:t>
      </w:r>
      <w:r>
        <w:t xml:space="preserve">768, with a maximum of 2560 X</w:t>
      </w:r>
      <w:r>
        <w:t xml:space="preserve"> </w:t>
      </w:r>
      <w:r>
        <w:t xml:space="preserve">2025 and a minimum of 308 X</w:t>
      </w:r>
      <w:r>
        <w:t xml:space="preserve"> </w:t>
      </w:r>
      <w:r>
        <w:t xml:space="preserve">149 .</w:t>
      </w:r>
    </w:p>
    <w:bookmarkEnd w:id="47"/>
    <w:bookmarkStart w:id="50" w:name="phase-i.-analyses"/>
    <w:p>
      <w:pPr>
        <w:pStyle w:val="Heading2"/>
      </w:pPr>
      <w:r>
        <w:rPr>
          <w:i/>
          <w:iCs/>
        </w:rPr>
        <w:t xml:space="preserve">Phase I.</w:t>
      </w:r>
      <w:r>
        <w:t xml:space="preserve"> </w:t>
      </w:r>
      <w:r>
        <w:t xml:space="preserve">Analyses</w:t>
      </w:r>
    </w:p>
    <w:p>
      <w:pPr>
        <w:pStyle w:val="FirstParagraph"/>
      </w:pPr>
      <w:r>
        <w:t xml:space="preserve">First, we reproduced features extracted from consistency tests found in</w:t>
      </w:r>
      <w:r>
        <w:t xml:space="preserve"> </w:t>
      </w:r>
      <w:r>
        <w:t xml:space="preserve">the literature</w:t>
      </w:r>
      <w:r>
        <w:t xml:space="preserve"> </w:t>
      </w:r>
      <w:r>
        <w:t xml:space="preserve">(</w:t>
      </w:r>
      <w:hyperlink w:anchor="ref-root2021">
        <w:r>
          <w:rPr>
            <w:rStyle w:val="Hyperlink"/>
          </w:rPr>
          <w:t xml:space="preserve">Root et al., 2021</w:t>
        </w:r>
      </w:hyperlink>
      <w:r>
        <w:t xml:space="preserve">;</w:t>
      </w:r>
      <w:r>
        <w:t xml:space="preserve"> </w:t>
      </w:r>
      <w:hyperlink w:anchor="ref-rothen2016">
        <w:r>
          <w:rPr>
            <w:rStyle w:val="Hyperlink"/>
          </w:rPr>
          <w:t xml:space="preserve">Rothen et al., 2016a</w:t>
        </w:r>
      </w:hyperlink>
      <w:r>
        <w:t xml:space="preserve">;</w:t>
      </w:r>
      <w:r>
        <w:t xml:space="preserve"> </w:t>
      </w:r>
      <w:hyperlink w:anchor="ref-vanpetersen2020a">
        <w:r>
          <w:rPr>
            <w:rStyle w:val="Hyperlink"/>
          </w:rPr>
          <w:t xml:space="preserve">Van Petersen et al., 2020a</w:t>
        </w:r>
      </w:hyperlink>
      <w:r>
        <w:t xml:space="preserve">;</w:t>
      </w:r>
      <w:r>
        <w:t xml:space="preserve"> </w:t>
      </w:r>
      <w:hyperlink w:anchor="ref-ward2022a">
        <w:r>
          <w:rPr>
            <w:rStyle w:val="Hyperlink"/>
          </w:rPr>
          <w:t xml:space="preserve">Ward, 2022</w:t>
        </w:r>
      </w:hyperlink>
      <w:r>
        <w:t xml:space="preserve">)</w:t>
      </w:r>
      <w:r>
        <w:t xml:space="preserve">.</w:t>
      </w:r>
      <w:r>
        <w:t xml:space="preserve"> </w:t>
      </w:r>
      <w:r>
        <w:t xml:space="preserve">These methods compute consistency metrics at the stimulus level, they</w:t>
      </w:r>
      <w:r>
        <w:t xml:space="preserve"> </w:t>
      </w:r>
      <w:r>
        <w:t xml:space="preserve">asses the consistency for each stimulus</w:t>
      </w:r>
      <w:r>
        <w:t xml:space="preserve"> </w:t>
      </w:r>
      <w:r>
        <w:rPr>
          <w:i/>
          <w:iCs/>
        </w:rPr>
        <w:t xml:space="preserve">within</w:t>
      </w:r>
      <w:r>
        <w:t xml:space="preserve"> </w:t>
      </w:r>
      <w:r>
        <w:t xml:space="preserve">the repetitions.</w:t>
      </w:r>
    </w:p>
    <w:p>
      <w:pPr>
        <w:pStyle w:val="BodyText"/>
      </w:pPr>
      <w:r>
        <w:t xml:space="preserve">Second, we extract features at the space-form level</w:t>
      </w:r>
      <w:r>
        <w:t xml:space="preserve"> </w:t>
      </w:r>
      <w:r>
        <w:rPr>
          <w:i/>
          <w:iCs/>
        </w:rPr>
        <w:t xml:space="preserve">between</w:t>
      </w:r>
      <w:r>
        <w:t xml:space="preserve"> </w:t>
      </w:r>
      <w:r>
        <w:t xml:space="preserve">repetitions. Taking the stimuli as an ordered sequence we can consider</w:t>
      </w:r>
      <w:r>
        <w:t xml:space="preserve"> </w:t>
      </w:r>
      <w:r>
        <w:t xml:space="preserve">them as a geometrical segments (i.e. open geometrical form) and polygons</w:t>
      </w:r>
      <w:r>
        <w:t xml:space="preserve"> </w:t>
      </w:r>
      <w:r>
        <w:t xml:space="preserve">(i.e. closed geometrical form), similarly as originally described in</w:t>
      </w:r>
      <w:r>
        <w:t xml:space="preserve"> </w:t>
      </w:r>
      <w:r>
        <w:t xml:space="preserve">Galton (</w:t>
      </w:r>
      <w:hyperlink w:anchor="ref-galton1880">
        <w:r>
          <w:rPr>
            <w:rStyle w:val="Hyperlink"/>
          </w:rPr>
          <w:t xml:space="preserve">1880</w:t>
        </w:r>
      </w:hyperlink>
      <w:r>
        <w:t xml:space="preserve">)</w:t>
      </w:r>
      <w:r>
        <w:t xml:space="preserve">. The first extracted feature is self-intersection.</w:t>
      </w:r>
      <w:r>
        <w:t xml:space="preserve"> </w:t>
      </w:r>
      <w:r>
        <w:t xml:space="preserve">Considering the spatial-forms as segments, we count the number of</w:t>
      </w:r>
      <w:r>
        <w:t xml:space="preserve"> </w:t>
      </w:r>
      <w:r>
        <w:t xml:space="preserve">self-intersections from these segments. Then, we harnessed a geospatial</w:t>
      </w:r>
      <w:r>
        <w:t xml:space="preserve"> </w:t>
      </w:r>
      <w:r>
        <w:t xml:space="preserve">analysis package</w:t>
      </w:r>
      <w:r>
        <w:t xml:space="preserve"> </w:t>
      </w:r>
      <w:r>
        <w:t xml:space="preserve">(</w:t>
      </w:r>
      <w:hyperlink w:anchor="ref-pebesma2018">
        <w:r>
          <w:rPr>
            <w:rStyle w:val="Hyperlink"/>
          </w:rPr>
          <w:t xml:space="preserve">Pebesma, 2018</w:t>
        </w:r>
      </w:hyperlink>
      <w:r>
        <w:t xml:space="preserve">)</w:t>
      </w:r>
      <w:r>
        <w:t xml:space="preserve"> </w:t>
      </w:r>
      <w:r>
        <w:t xml:space="preserve">to extract geometry-bssed features from</w:t>
      </w:r>
      <w:r>
        <w:t xml:space="preserve"> </w:t>
      </w:r>
      <w:r>
        <w:t xml:space="preserve">participant’s 2D (x,y) coordinate responses. This package allows, for</w:t>
      </w:r>
      <w:r>
        <w:t xml:space="preserve"> </w:t>
      </w:r>
      <w:r>
        <w:t xml:space="preserve">example, to build and analyse strings or polygons and then extract</w:t>
      </w:r>
      <w:r>
        <w:t xml:space="preserve"> </w:t>
      </w:r>
      <w:r>
        <w:t xml:space="preserve">multiple geometrical descriptors or features. Informed by the ordinality</w:t>
      </w:r>
      <w:r>
        <w:t xml:space="preserve"> </w:t>
      </w:r>
      <w:r>
        <w:t xml:space="preserve">of the stimulus, we defined segments and polygon by conditions and</w:t>
      </w:r>
      <w:r>
        <w:t xml:space="preserve"> </w:t>
      </w:r>
      <w:r>
        <w:t xml:space="preserve">repetitions. The rationale here is to determine whether, when</w:t>
      </w:r>
      <w:r>
        <w:t xml:space="preserve"> </w:t>
      </w:r>
      <w:r>
        <w:t xml:space="preserve">considering the stimuli as ordered coordinates (i.e. as segments or</w:t>
      </w:r>
      <w:r>
        <w:t xml:space="preserve"> </w:t>
      </w:r>
      <w:r>
        <w:t xml:space="preserve">polygon) they remain consistent</w:t>
      </w:r>
      <w:r>
        <w:t xml:space="preserve"> </w:t>
      </w:r>
      <w:r>
        <w:rPr>
          <w:i/>
          <w:iCs/>
        </w:rPr>
        <w:t xml:space="preserve">between</w:t>
      </w:r>
      <w:r>
        <w:t xml:space="preserve"> </w:t>
      </w:r>
      <w:r>
        <w:t xml:space="preserve">repetitions for each</w:t>
      </w:r>
      <w:r>
        <w:t xml:space="preserve"> </w:t>
      </w:r>
      <w:r>
        <w:t xml:space="preserve">individuals.</w:t>
      </w:r>
    </w:p>
    <w:p>
      <w:pPr>
        <w:pStyle w:val="BodyText"/>
      </w:pPr>
      <w:r>
        <w:t xml:space="preserve">In addition, we applied higher-order analytical approaches such</w:t>
      </w:r>
      <w:r>
        <w:t xml:space="preserve"> </w:t>
      </w:r>
      <w:r>
        <w:t xml:space="preserve">including permutation-based methods. On the one hand, we reproduce Root</w:t>
      </w:r>
      <w:r>
        <w:t xml:space="preserve"> </w:t>
      </w:r>
      <w:r>
        <w:t xml:space="preserve">et al.</w:t>
      </w:r>
      <w:r>
        <w:t xml:space="preserve"> </w:t>
      </w:r>
      <w:r>
        <w:t xml:space="preserve">(</w:t>
      </w:r>
      <w:hyperlink w:anchor="ref-root2021">
        <w:r>
          <w:rPr>
            <w:rStyle w:val="Hyperlink"/>
          </w:rPr>
          <w:t xml:space="preserve">2021</w:t>
        </w:r>
      </w:hyperlink>
      <w:r>
        <w:t xml:space="preserve">)</w:t>
      </w:r>
      <w:r>
        <w:t xml:space="preserve"> </w:t>
      </w:r>
      <w:r>
        <w:t xml:space="preserve">permutation test for colour-grapheme synaesthesia</w:t>
      </w:r>
      <w:r>
        <w:t xml:space="preserve"> </w:t>
      </w:r>
      <w:r>
        <w:t xml:space="preserve">and adapted it to SSS as in Ward</w:t>
      </w:r>
      <w:r>
        <w:t xml:space="preserve"> </w:t>
      </w:r>
      <w:r>
        <w:t xml:space="preserve">(</w:t>
      </w:r>
      <w:hyperlink w:anchor="ref-ward2022a">
        <w:r>
          <w:rPr>
            <w:rStyle w:val="Hyperlink"/>
          </w:rPr>
          <w:t xml:space="preserve">2022</w:t>
        </w:r>
      </w:hyperlink>
      <w:r>
        <w:t xml:space="preserve">)</w:t>
      </w:r>
      <w:r>
        <w:t xml:space="preserve">). On the other hand, we</w:t>
      </w:r>
      <w:r>
        <w:t xml:space="preserve"> </w:t>
      </w:r>
      <w:r>
        <w:t xml:space="preserve">implemented permutations across repetitions to derive a permuted measure</w:t>
      </w:r>
      <w:r>
        <w:t xml:space="preserve"> </w:t>
      </w:r>
      <w:r>
        <w:t xml:space="preserve">of consistency. Specifically, instead of using repetitions in</w:t>
      </w:r>
      <w:r>
        <w:t xml:space="preserve"> </w:t>
      </w:r>
      <w:r>
        <w:t xml:space="preserve">chronological order, we randomized the order of stimulus presentation</w:t>
      </w:r>
      <w:r>
        <w:t xml:space="preserve"> </w:t>
      </w:r>
      <w:r>
        <w:t xml:space="preserve">and extract the geometrical feature from x,y coordinates of same</w:t>
      </w:r>
      <w:r>
        <w:t xml:space="preserve"> </w:t>
      </w:r>
      <w:r>
        <w:t xml:space="preserve">stimulus categories in non-chronological order. Since these methods are</w:t>
      </w:r>
      <w:r>
        <w:t xml:space="preserve"> </w:t>
      </w:r>
      <w:r>
        <w:t xml:space="preserve">also rely on repetition order we also compute the best AUC features by</w:t>
      </w:r>
      <w:r>
        <w:t xml:space="preserve"> </w:t>
      </w:r>
      <w:r>
        <w:t xml:space="preserve">permuting them. We predicted that permuted averaged features would yield</w:t>
      </w:r>
      <w:r>
        <w:t xml:space="preserve"> </w:t>
      </w:r>
      <w:r>
        <w:t xml:space="preserve">superior classification performance (higher AUC values) compared to</w:t>
      </w:r>
      <w:r>
        <w:t xml:space="preserve"> </w:t>
      </w:r>
      <w:r>
        <w:t xml:space="preserve">chronologically ordered features. The rationale is that genuine</w:t>
      </w:r>
      <w:r>
        <w:t xml:space="preserve"> </w:t>
      </w:r>
      <w:r>
        <w:t xml:space="preserve">synaesthetes should exhibit stable spatial forms across repetitions</w:t>
      </w:r>
      <w:r>
        <w:t xml:space="preserve"> </w:t>
      </w:r>
      <w:r>
        <w:t xml:space="preserve">regardless of presentation order, whereas controls would show random</w:t>
      </w:r>
      <w:r>
        <w:t xml:space="preserve"> </w:t>
      </w:r>
      <w:r>
        <w:t xml:space="preserve">variation.</w:t>
      </w:r>
    </w:p>
    <w:p>
      <w:pPr>
        <w:pStyle w:val="BodyText"/>
      </w:pPr>
      <w:r>
        <w:t xml:space="preserve">Each feature’s performance in classifying SSS from controls was compared</w:t>
      </w:r>
      <w:r>
        <w:t xml:space="preserve"> </w:t>
      </w:r>
      <w:r>
        <w:t xml:space="preserve">with Receiver Operating Characteristics (ROC) analyses. Area Under the</w:t>
      </w:r>
      <w:r>
        <w:t xml:space="preserve"> </w:t>
      </w:r>
      <w:r>
        <w:t xml:space="preserve">Curve (AUC) was used to determine which feature is best at classifying</w:t>
      </w:r>
      <w:r>
        <w:t xml:space="preserve"> </w:t>
      </w:r>
      <w:r>
        <w:t xml:space="preserve">SSS from Controls. The optimal cutoffs were calculated using Youden’s</w:t>
      </w:r>
      <w:r>
        <w:t xml:space="preserve"> </w:t>
      </w:r>
      <w:r>
        <w:t xml:space="preserve">index</w:t>
      </w:r>
      <w:r>
        <w:t xml:space="preserve"> </w:t>
      </w:r>
      <w:r>
        <w:t xml:space="preserve">(</w:t>
      </w:r>
      <w:hyperlink w:anchor="ref-youden1950">
        <w:r>
          <w:rPr>
            <w:rStyle w:val="Hyperlink"/>
          </w:rPr>
          <w:t xml:space="preserve">Youden, 1950</w:t>
        </w:r>
      </w:hyperlink>
      <w:r>
        <w:t xml:space="preserve">)</w:t>
      </w:r>
      <w:r>
        <w:t xml:space="preserve">. Discriminant Power (DP) was used as an additional</w:t>
      </w:r>
      <w:r>
        <w:t xml:space="preserve"> </w:t>
      </w:r>
      <w:r>
        <w:t xml:space="preserve">estimate of discrimination performance according to the optimal cutoff</w:t>
      </w:r>
      <w:r>
        <w:t xml:space="preserve"> </w:t>
      </w:r>
      <w:r>
        <w:t xml:space="preserve">(</w:t>
      </w:r>
      <w:hyperlink w:anchor="eq-DP">
        <w:r>
          <w:rPr>
            <w:rStyle w:val="Hyperlink"/>
          </w:rPr>
          <w:t xml:space="preserve">Equation 1</w:t>
        </w:r>
      </w:hyperlink>
      <w:r>
        <w:t xml:space="preserve">). DP around 1 being interpreted as inefficient discrimination.</w:t>
      </w:r>
    </w:p>
    <w:p>
      <w:pPr>
        <w:pStyle w:val="BodyText"/>
      </w:pPr>
      <w:bookmarkStart w:id="48" w:name="eq-DP"/>
      <m:oMathPara>
        <m:oMathParaPr>
          <m:jc m:val="center"/>
        </m:oMathParaPr>
        <m:oMath>
          <m:r>
            <m:t>D</m:t>
          </m:r>
          <m:r>
            <m:t>P</m:t>
          </m:r>
          <m:r>
            <m:rPr>
              <m:sty m:val="p"/>
            </m:rPr>
            <m:t>=</m:t>
          </m:r>
          <m:f>
            <m:fPr>
              <m:type m:val="bar"/>
            </m:fPr>
            <m:num>
              <m:r>
                <m:t>s</m:t>
              </m:r>
              <m:r>
                <m:t>q</m:t>
              </m:r>
              <m:r>
                <m:t>r</m:t>
              </m:r>
              <m:r>
                <m:t>t</m:t>
              </m:r>
              <m:d>
                <m:dPr>
                  <m:begChr m:val="("/>
                  <m:sepChr m:val=""/>
                  <m:endChr m:val=")"/>
                  <m:grow/>
                </m:dPr>
                <m:e>
                  <m:r>
                    <m:t>3</m:t>
                  </m:r>
                </m:e>
              </m:d>
            </m:num>
            <m:den>
              <m:r>
                <m:t>π</m:t>
              </m:r>
            </m:den>
          </m:f>
          <m:d>
            <m:dPr>
              <m:begChr m:val="("/>
              <m:sepChr m:val=""/>
              <m:endChr m:val=")"/>
              <m:grow/>
            </m:dPr>
            <m:e>
              <m:r>
                <m:t>l</m:t>
              </m:r>
              <m:r>
                <m:t>o</m:t>
              </m:r>
              <m:r>
                <m:t>g</m:t>
              </m:r>
              <m:d>
                <m:dPr>
                  <m:begChr m:val="("/>
                  <m:sepChr m:val=""/>
                  <m:endChr m:val=")"/>
                  <m:grow/>
                </m:dPr>
                <m:e>
                  <m:r>
                    <m:t>X</m:t>
                  </m:r>
                </m:e>
              </m:d>
              <m:r>
                <m:rPr>
                  <m:sty m:val="p"/>
                </m:rPr>
                <m:t>+</m:t>
              </m:r>
              <m:r>
                <m:t>l</m:t>
              </m:r>
              <m:r>
                <m:t>o</m:t>
              </m:r>
              <m:r>
                <m:t>g</m:t>
              </m:r>
              <m:d>
                <m:dPr>
                  <m:begChr m:val="("/>
                  <m:sepChr m:val=""/>
                  <m:endChr m:val=")"/>
                  <m:grow/>
                </m:dPr>
                <m:e>
                  <m:r>
                    <m:t>Y</m:t>
                  </m:r>
                </m:e>
              </m:d>
            </m:e>
          </m:d>
          <m:r>
            <m:t>  </m:t>
          </m:r>
          <m:d>
            <m:dPr>
              <m:begChr m:val="("/>
              <m:sepChr m:val=""/>
              <m:endChr m:val=")"/>
              <m:grow/>
            </m:dPr>
            <m:e>
              <m:r>
                <m:t>1</m:t>
              </m:r>
            </m:e>
          </m:d>
        </m:oMath>
      </m:oMathPara>
      <w:bookmarkEnd w:id="48"/>
    </w:p>
    <w:p>
      <w:pPr>
        <w:pStyle w:val="FirstParagraph"/>
      </w:pPr>
      <w:r>
        <w:t xml:space="preserve">where:</w:t>
      </w:r>
      <w:r>
        <w:t xml:space="preserve"> </w:t>
      </w:r>
      <m:oMath>
        <m:r>
          <m:t>X</m:t>
        </m:r>
        <m:r>
          <m:rPr>
            <m:sty m:val="p"/>
          </m:rPr>
          <m:t>=</m:t>
        </m:r>
        <m:r>
          <m:t>s</m:t>
        </m:r>
        <m:r>
          <m:t>e</m:t>
        </m:r>
        <m:r>
          <m:t>n</m:t>
        </m:r>
        <m:r>
          <m:t>s</m:t>
        </m:r>
        <m:r>
          <m:t>i</m:t>
        </m:r>
        <m:r>
          <m:t>t</m:t>
        </m:r>
        <m:r>
          <m:t>i</m:t>
        </m:r>
        <m:r>
          <m:t>v</m:t>
        </m:r>
        <m:r>
          <m:t>i</m:t>
        </m:r>
        <m:r>
          <m:t>t</m:t>
        </m:r>
        <m:r>
          <m:t>y</m:t>
        </m:r>
        <m:r>
          <m:rPr>
            <m:sty m:val="p"/>
          </m:rPr>
          <m:t>/</m:t>
        </m:r>
        <m:d>
          <m:dPr>
            <m:begChr m:val="("/>
            <m:sepChr m:val=""/>
            <m:endChr m:val=")"/>
            <m:grow/>
          </m:dPr>
          <m:e>
            <m:r>
              <m:t>1</m:t>
            </m:r>
            <m:r>
              <m:rPr>
                <m:sty m:val="p"/>
              </m:rPr>
              <m:t>−</m:t>
            </m:r>
            <m:r>
              <m:t>s</m:t>
            </m:r>
            <m:r>
              <m:t>e</m:t>
            </m:r>
            <m:r>
              <m:t>n</m:t>
            </m:r>
            <m:r>
              <m:t>s</m:t>
            </m:r>
            <m:r>
              <m:t>i</m:t>
            </m:r>
            <m:r>
              <m:t>t</m:t>
            </m:r>
            <m:r>
              <m:t>i</m:t>
            </m:r>
            <m:r>
              <m:t>v</m:t>
            </m:r>
            <m:r>
              <m:t>i</m:t>
            </m:r>
            <m:r>
              <m:t>t</m:t>
            </m:r>
            <m:r>
              <m:t>y</m:t>
            </m:r>
          </m:e>
        </m:d>
      </m:oMath>
      <w:r>
        <w:t xml:space="preserve"> </w:t>
      </w:r>
      <w:r>
        <w:t xml:space="preserve">and</w:t>
      </w:r>
      <w:r>
        <w:t xml:space="preserve"> </w:t>
      </w:r>
      <m:oMath>
        <m:r>
          <m:t>Y</m:t>
        </m:r>
        <m:r>
          <m:rPr>
            <m:sty m:val="p"/>
          </m:rPr>
          <m:t>=</m:t>
        </m:r>
        <m:r>
          <m:t>s</m:t>
        </m:r>
        <m:r>
          <m:t>p</m:t>
        </m:r>
        <m:r>
          <m:t>e</m:t>
        </m:r>
        <m:r>
          <m:t>c</m:t>
        </m:r>
        <m:r>
          <m:t>i</m:t>
        </m:r>
        <m:r>
          <m:t>f</m:t>
        </m:r>
        <m:r>
          <m:t>i</m:t>
        </m:r>
        <m:r>
          <m:t>c</m:t>
        </m:r>
        <m:r>
          <m:t>i</m:t>
        </m:r>
        <m:r>
          <m:t>t</m:t>
        </m:r>
        <m:r>
          <m:t>y</m:t>
        </m:r>
        <m:r>
          <m:rPr>
            <m:sty m:val="p"/>
          </m:rPr>
          <m:t>/</m:t>
        </m:r>
        <m:d>
          <m:dPr>
            <m:begChr m:val="("/>
            <m:sepChr m:val=""/>
            <m:endChr m:val=")"/>
            <m:grow/>
          </m:dPr>
          <m:e>
            <m:r>
              <m:t>1</m:t>
            </m:r>
            <m:r>
              <m:rPr>
                <m:sty m:val="p"/>
              </m:rPr>
              <m:t>−</m:t>
            </m:r>
            <m:r>
              <m:t>s</m:t>
            </m:r>
            <m:r>
              <m:t>p</m:t>
            </m:r>
            <m:r>
              <m:t>e</m:t>
            </m:r>
            <m:r>
              <m:t>c</m:t>
            </m:r>
            <m:r>
              <m:t>i</m:t>
            </m:r>
            <m:r>
              <m:t>f</m:t>
            </m:r>
            <m:r>
              <m:t>i</m:t>
            </m:r>
            <m:r>
              <m:t>c</m:t>
            </m:r>
            <m:r>
              <m:t>i</m:t>
            </m:r>
            <m:r>
              <m:t>t</m:t>
            </m:r>
            <m:r>
              <m:t>y</m:t>
            </m:r>
          </m:e>
        </m:d>
      </m:oMath>
    </w:p>
    <w:p>
      <w:pPr>
        <w:pStyle w:val="BodyText"/>
      </w:pPr>
      <w:r>
        <w:t xml:space="preserve">Additional analyses in the Appendix attempt to address several concerns</w:t>
      </w:r>
      <w:r>
        <w:t xml:space="preserve"> </w:t>
      </w:r>
      <w:r>
        <w:t xml:space="preserve">raised in the literature on consistency tests: that some criteria might</w:t>
      </w:r>
      <w:r>
        <w:t xml:space="preserve"> </w:t>
      </w:r>
      <w:r>
        <w:t xml:space="preserve">be more beneficial toward a certain type of SSS than others, and</w:t>
      </w:r>
      <w:r>
        <w:t xml:space="preserve"> </w:t>
      </w:r>
      <w:r>
        <w:t xml:space="preserve">circularity. Regarding the concern that some criteria might bias toward</w:t>
      </w:r>
      <w:r>
        <w:t xml:space="preserve"> </w:t>
      </w:r>
      <w:r>
        <w:t xml:space="preserve">types of synaesthesia, we compared the groups by subtype of SSS (i.e.,</w:t>
      </w:r>
      <w:r>
        <w:t xml:space="preserve"> </w:t>
      </w:r>
      <w:r>
        <w:t xml:space="preserve">weekdays, months, and numbers) with the classifications using the</w:t>
      </w:r>
      <w:r>
        <w:t xml:space="preserve"> </w:t>
      </w:r>
      <w:r>
        <w:t xml:space="preserve">cutoffs for permuted validity and perimeter. In an attempt to circumvent</w:t>
      </w:r>
      <w:r>
        <w:t xml:space="preserve"> </w:t>
      </w:r>
      <w:r>
        <w:t xml:space="preserve">the circularity of perfecting consistency tests based on self-reported</w:t>
      </w:r>
      <w:r>
        <w:t xml:space="preserve"> </w:t>
      </w:r>
      <w:r>
        <w:t xml:space="preserve">groups, we attempted two additional approaches: first, testing</w:t>
      </w:r>
      <w:r>
        <w:t xml:space="preserve"> </w:t>
      </w:r>
      <w:r>
        <w:t xml:space="preserve">subsamples based on percentiles of the questionnaire score sample</w:t>
      </w:r>
      <w:r>
        <w:t xml:space="preserve"> </w:t>
      </w:r>
      <w:r>
        <w:t xml:space="preserve">distribution (see</w:t>
      </w:r>
      <w:r>
        <w:t xml:space="preserve"> </w:t>
      </w:r>
      <w:hyperlink w:anchor="sec-sm2-correlation-with-self-report">
        <w:r>
          <w:rPr>
            <w:rStyle w:val="Hyperlink"/>
          </w:rPr>
          <w:t xml:space="preserve">Section 9.4</w:t>
        </w:r>
      </w:hyperlink>
      <w:r>
        <w:t xml:space="preserve">). The rationale</w:t>
      </w:r>
      <w:r>
        <w:t xml:space="preserve"> </w:t>
      </w:r>
      <w:r>
        <w:t xml:space="preserve">is that a good consistency test should have similar discriminative</w:t>
      </w:r>
      <w:r>
        <w:t xml:space="preserve"> </w:t>
      </w:r>
      <w:r>
        <w:t xml:space="preserve">performance for strong SSS and weaker SSS. To do this, we re-sampled the</w:t>
      </w:r>
      <w:r>
        <w:t xml:space="preserve"> </w:t>
      </w:r>
      <w:r>
        <w:t xml:space="preserve">SSS and controls based on their questionnaire distribution by</w:t>
      </w:r>
      <w:r>
        <w:t xml:space="preserve"> </w:t>
      </w:r>
      <w:r>
        <w:t xml:space="preserve">percentiles (i.e., comparing 10% highest questionnaire scores vs. 10%</w:t>
      </w:r>
      <w:r>
        <w:t xml:space="preserve"> </w:t>
      </w:r>
      <w:r>
        <w:t xml:space="preserve">lowest, then 20% vs. 20%, etc.). Second we correlated the questionnaire</w:t>
      </w:r>
      <w:r>
        <w:t xml:space="preserve"> </w:t>
      </w:r>
      <w:r>
        <w:t xml:space="preserve">scores with the results from different features extracted from the</w:t>
      </w:r>
      <w:r>
        <w:t xml:space="preserve"> </w:t>
      </w:r>
      <w:r>
        <w:t xml:space="preserve">consistency test. Finally, since we will attempt to predict the best</w:t>
      </w:r>
      <w:r>
        <w:t xml:space="preserve"> </w:t>
      </w:r>
      <w:r>
        <w:t xml:space="preserve">diagnostic features of a to be collected dataset, we also carried</w:t>
      </w:r>
      <w:r>
        <w:t xml:space="preserve"> </w:t>
      </w:r>
      <w:r>
        <w:t xml:space="preserve">analyses across the different datasets separately, to test whether each</w:t>
      </w:r>
      <w:r>
        <w:t xml:space="preserve"> </w:t>
      </w:r>
      <w:r>
        <w:t xml:space="preserve">consistency test’s feature remain constant, see</w:t>
      </w:r>
      <w:r>
        <w:t xml:space="preserve"> </w:t>
      </w:r>
      <w:hyperlink w:anchor="sec-SM3byds">
        <w:r>
          <w:rPr>
            <w:rStyle w:val="Hyperlink"/>
          </w:rPr>
          <w:t xml:space="preserve">Section 9.3</w:t>
        </w:r>
      </w:hyperlink>
      <w:r>
        <w:t xml:space="preserve"> </w:t>
      </w:r>
      <w:r>
        <w:t xml:space="preserve">.</w:t>
      </w:r>
    </w:p>
    <w:p>
      <w:pPr>
        <w:pStyle w:val="BodyText"/>
      </w:pPr>
      <w:r>
        <w:t xml:space="preserve">Code and data for</w:t>
      </w:r>
      <w:r>
        <w:t xml:space="preserve"> </w:t>
      </w:r>
      <w:r>
        <w:t xml:space="preserve">“one-click”</w:t>
      </w:r>
      <w:r>
        <w:t xml:space="preserve"> </w:t>
      </w:r>
      <w:r>
        <w:t xml:space="preserve">reproducibility of this pre-registration</w:t>
      </w:r>
      <w:r>
        <w:t xml:space="preserve"> </w:t>
      </w:r>
      <w:r>
        <w:t xml:space="preserve">is available on git-hub:</w:t>
      </w:r>
      <w:r>
        <w:t xml:space="preserve"> </w:t>
      </w:r>
      <w:hyperlink r:id="rId49">
        <w:r>
          <w:rPr>
            <w:rStyle w:val="Hyperlink"/>
          </w:rPr>
          <w:t xml:space="preserve">https://github.com/remLach/SpaceSequenceSynDiagnostic</w:t>
        </w:r>
      </w:hyperlink>
      <w:r>
        <w:t xml:space="preserve">.</w:t>
      </w:r>
    </w:p>
    <w:bookmarkEnd w:id="50"/>
    <w:bookmarkStart w:id="58" w:name="sec-phase-i.-analysis"/>
    <w:p>
      <w:pPr>
        <w:pStyle w:val="Heading2"/>
      </w:pPr>
      <w:r>
        <w:rPr>
          <w:i/>
          <w:iCs/>
        </w:rPr>
        <w:t xml:space="preserve">Phase I.</w:t>
      </w:r>
      <w:r>
        <w:t xml:space="preserve"> </w:t>
      </w:r>
      <w:r>
        <w:t xml:space="preserve">Features extraction</w:t>
      </w:r>
    </w:p>
    <w:bookmarkStart w:id="53" w:name="X0afd30dd418c489adce5e019e01fea9e101202e"/>
    <w:p>
      <w:pPr>
        <w:pStyle w:val="Heading3"/>
      </w:pPr>
      <w:r>
        <w:t xml:space="preserve">Stimulus level: area and perimeter between repetitions</w:t>
      </w:r>
    </w:p>
    <w:p>
      <w:pPr>
        <w:pStyle w:val="FirstParagraph"/>
      </w:pPr>
      <w:r>
        <w:t xml:space="preserve">The stimulus repetition distance’s features are calculated as the</w:t>
      </w:r>
      <w:r>
        <w:t xml:space="preserve"> </w:t>
      </w:r>
      <w:r>
        <w:rPr>
          <w:b/>
          <w:bCs/>
        </w:rPr>
        <w:t xml:space="preserve">area</w:t>
      </w:r>
      <w:r>
        <w:t xml:space="preserve">, see</w:t>
      </w:r>
      <w:r>
        <w:t xml:space="preserve"> </w:t>
      </w:r>
      <w:hyperlink w:anchor="eq-area">
        <w:r>
          <w:rPr>
            <w:rStyle w:val="Hyperlink"/>
          </w:rPr>
          <w:t xml:space="preserve">Equation 2</w:t>
        </w:r>
      </w:hyperlink>
      <w:r>
        <w:t xml:space="preserve">, and the</w:t>
      </w:r>
      <w:r>
        <w:t xml:space="preserve"> </w:t>
      </w:r>
      <w:r>
        <w:rPr>
          <w:b/>
          <w:bCs/>
        </w:rPr>
        <w:t xml:space="preserve">perimeter</w:t>
      </w:r>
      <w:r>
        <w:t xml:space="preserve">, see</w:t>
      </w:r>
      <w:r>
        <w:t xml:space="preserve"> </w:t>
      </w:r>
      <w:hyperlink w:anchor="eq-perim">
        <w:r>
          <w:rPr>
            <w:rStyle w:val="Hyperlink"/>
          </w:rPr>
          <w:t xml:space="preserve">Equation 3</w:t>
        </w:r>
      </w:hyperlink>
      <w:r>
        <w:t xml:space="preserve">, formed by</w:t>
      </w:r>
      <w:r>
        <w:t xml:space="preserve"> </w:t>
      </w:r>
      <w:r>
        <w:t xml:space="preserve">the x,y coordinate between three repetitions (i.e.</w:t>
      </w:r>
      <w:r>
        <w:t xml:space="preserve"> </w:t>
      </w:r>
      <m:oMath>
        <m:d>
          <m:dPr>
            <m:begChr m:val="("/>
            <m:sepChr m:val=""/>
            <m:endChr m:val=")"/>
            <m:grow/>
          </m:dPr>
          <m:e>
            <m:r>
              <m:t>x</m:t>
            </m:r>
            <m:r>
              <m:t>1</m:t>
            </m:r>
            <m:r>
              <m:rPr>
                <m:sty m:val="p"/>
              </m:rPr>
              <m:t>,</m:t>
            </m:r>
            <m:r>
              <m:t>y</m:t>
            </m:r>
            <m:r>
              <m:t>1</m:t>
            </m:r>
          </m:e>
        </m:d>
        <m:r>
          <m:rPr>
            <m:sty m:val="p"/>
          </m:rPr>
          <m:t>,</m:t>
        </m:r>
        <m:d>
          <m:dPr>
            <m:begChr m:val="("/>
            <m:sepChr m:val=""/>
            <m:endChr m:val=")"/>
            <m:grow/>
          </m:dPr>
          <m:e>
            <m:r>
              <m:t>x</m:t>
            </m:r>
            <m:r>
              <m:t>2</m:t>
            </m:r>
            <m:r>
              <m:rPr>
                <m:sty m:val="p"/>
              </m:rPr>
              <m:t>,</m:t>
            </m:r>
            <m:r>
              <m:t>y</m:t>
            </m:r>
            <m:r>
              <m:t>2</m:t>
            </m:r>
          </m:e>
        </m:d>
        <m:r>
          <m:rPr>
            <m:sty m:val="p"/>
          </m:rPr>
          <m:t>,</m:t>
        </m:r>
        <m:d>
          <m:dPr>
            <m:begChr m:val="("/>
            <m:sepChr m:val=""/>
            <m:endChr m:val=")"/>
            <m:grow/>
          </m:dPr>
          <m:e>
            <m:r>
              <m:t>x</m:t>
            </m:r>
            <m:r>
              <m:t>3</m:t>
            </m:r>
            <m:r>
              <m:rPr>
                <m:sty m:val="p"/>
              </m:rPr>
              <m:t>,</m:t>
            </m:r>
            <m:r>
              <m:t>y</m:t>
            </m:r>
            <m:r>
              <m:t>3</m:t>
            </m:r>
          </m:e>
        </m:d>
      </m:oMath>
      <w:r>
        <w:t xml:space="preserve">).</w:t>
      </w:r>
    </w:p>
    <w:p>
      <w:pPr>
        <w:pStyle w:val="BodyText"/>
      </w:pPr>
      <w:bookmarkStart w:id="51" w:name="eq-area"/>
      <m:oMathPara>
        <m:oMathParaPr>
          <m:jc m:val="center"/>
        </m:oMathParaPr>
        <m:oMath>
          <m:r>
            <m:t>A</m:t>
          </m:r>
          <m:r>
            <m:t>r</m:t>
          </m:r>
          <m:r>
            <m:t>e</m:t>
          </m:r>
          <m:r>
            <m:t>a</m:t>
          </m:r>
          <m:r>
            <m:rPr>
              <m:sty m:val="p"/>
            </m:rPr>
            <m:t>=</m:t>
          </m:r>
          <m:d>
            <m:dPr>
              <m:begChr m:val="("/>
              <m:sepChr m:val=""/>
              <m:endChr m:val=")"/>
              <m:grow/>
            </m:dPr>
            <m:e>
              <m:r>
                <m:t>x</m:t>
              </m:r>
              <m:r>
                <m:t>1</m:t>
              </m:r>
              <m:r>
                <m:t>y</m:t>
              </m:r>
              <m:r>
                <m:t>2</m:t>
              </m:r>
              <m:r>
                <m:rPr>
                  <m:sty m:val="p"/>
                </m:rPr>
                <m:t>+</m:t>
              </m:r>
              <m:r>
                <m:t>x</m:t>
              </m:r>
              <m:r>
                <m:t>2</m:t>
              </m:r>
              <m:r>
                <m:t>y</m:t>
              </m:r>
              <m:r>
                <m:t>3</m:t>
              </m:r>
              <m:r>
                <m:rPr>
                  <m:sty m:val="p"/>
                </m:rPr>
                <m:t>+</m:t>
              </m:r>
              <m:r>
                <m:t>x</m:t>
              </m:r>
              <m:r>
                <m:t>3</m:t>
              </m:r>
              <m:r>
                <m:t>y</m:t>
              </m:r>
              <m:r>
                <m:t>1</m:t>
              </m:r>
              <m:r>
                <m:rPr>
                  <m:sty m:val="p"/>
                </m:rPr>
                <m:t>–</m:t>
              </m:r>
              <m:r>
                <m:t>x</m:t>
              </m:r>
              <m:r>
                <m:t>1</m:t>
              </m:r>
              <m:r>
                <m:t>y</m:t>
              </m:r>
              <m:r>
                <m:t>3</m:t>
              </m:r>
              <m:r>
                <m:rPr>
                  <m:sty m:val="p"/>
                </m:rPr>
                <m:t>–</m:t>
              </m:r>
              <m:r>
                <m:t>x</m:t>
              </m:r>
              <m:r>
                <m:t>2</m:t>
              </m:r>
              <m:r>
                <m:t>y</m:t>
              </m:r>
              <m:r>
                <m:t>1</m:t>
              </m:r>
              <m:r>
                <m:rPr>
                  <m:sty m:val="p"/>
                </m:rPr>
                <m:t>–</m:t>
              </m:r>
              <m:r>
                <m:t>x</m:t>
              </m:r>
              <m:r>
                <m:t>3</m:t>
              </m:r>
              <m:r>
                <m:t>y</m:t>
              </m:r>
              <m:r>
                <m:t>2</m:t>
              </m:r>
            </m:e>
          </m:d>
          <m:r>
            <m:rPr>
              <m:sty m:val="p"/>
            </m:rPr>
            <m:t>/</m:t>
          </m:r>
          <m:r>
            <m:t>2</m:t>
          </m:r>
          <m:r>
            <m:t>  </m:t>
          </m:r>
          <m:d>
            <m:dPr>
              <m:begChr m:val="("/>
              <m:sepChr m:val=""/>
              <m:endChr m:val=")"/>
              <m:grow/>
            </m:dPr>
            <m:e>
              <m:r>
                <m:t>2</m:t>
              </m:r>
            </m:e>
          </m:d>
        </m:oMath>
      </m:oMathPara>
      <w:bookmarkEnd w:id="51"/>
    </w:p>
    <w:p>
      <w:pPr>
        <w:pStyle w:val="FirstParagraph"/>
      </w:pPr>
      <w:bookmarkStart w:id="52" w:name="eq-perim"/>
      <m:oMathPara>
        <m:oMathParaPr>
          <m:jc m:val="center"/>
        </m:oMathParaPr>
        <m:oMath>
          <m:r>
            <m:t>P</m:t>
          </m:r>
          <m:r>
            <m:t>e</m:t>
          </m:r>
          <m:r>
            <m:t>r</m:t>
          </m:r>
          <m:r>
            <m:t>i</m:t>
          </m:r>
          <m:r>
            <m:t>m</m:t>
          </m:r>
          <m:r>
            <m:t>e</m:t>
          </m:r>
          <m:r>
            <m:t>t</m:t>
          </m:r>
          <m:r>
            <m:t>e</m:t>
          </m:r>
          <m:r>
            <m:t>r</m:t>
          </m:r>
          <m:r>
            <m:rPr>
              <m:sty m:val="p"/>
            </m:rPr>
            <m:t>=</m:t>
          </m:r>
          <m:rad>
            <m:radPr>
              <m:degHide m:val="on"/>
            </m:radPr>
            <m:deg/>
            <m:e>
              <m:sSup>
                <m:e>
                  <m:d>
                    <m:dPr>
                      <m:begChr m:val="("/>
                      <m:sepChr m:val=""/>
                      <m:endChr m:val=")"/>
                      <m:grow/>
                    </m:dPr>
                    <m:e>
                      <m:r>
                        <m:t>x</m:t>
                      </m:r>
                      <m:r>
                        <m:t>2</m:t>
                      </m:r>
                      <m:r>
                        <m:rPr>
                          <m:sty m:val="p"/>
                        </m:rPr>
                        <m:t>−</m:t>
                      </m:r>
                      <m:r>
                        <m:t>x</m:t>
                      </m:r>
                      <m:r>
                        <m:t>1</m:t>
                      </m:r>
                    </m:e>
                  </m:d>
                </m:e>
                <m:sup>
                  <m:r>
                    <m:t>2</m:t>
                  </m:r>
                </m:sup>
              </m:sSup>
              <m:r>
                <m:rPr>
                  <m:sty m:val="p"/>
                </m:rPr>
                <m:t>+</m:t>
              </m:r>
              <m:sSup>
                <m:e>
                  <m:d>
                    <m:dPr>
                      <m:begChr m:val="("/>
                      <m:sepChr m:val=""/>
                      <m:endChr m:val=")"/>
                      <m:grow/>
                    </m:dPr>
                    <m:e>
                      <m:r>
                        <m:t>y</m:t>
                      </m:r>
                      <m:r>
                        <m:t>2</m:t>
                      </m:r>
                      <m:r>
                        <m:rPr>
                          <m:sty m:val="p"/>
                        </m:rPr>
                        <m:t>–</m:t>
                      </m:r>
                      <m:r>
                        <m:t>y</m:t>
                      </m:r>
                      <m:r>
                        <m:t>1</m:t>
                      </m:r>
                    </m:e>
                  </m:d>
                </m:e>
                <m:sup>
                  <m:r>
                    <m:t>2</m:t>
                  </m:r>
                </m:sup>
              </m:sSup>
            </m:e>
          </m:rad>
          <m:r>
            <m:rPr>
              <m:sty m:val="p"/>
            </m:rPr>
            <m:t>+</m:t>
          </m:r>
          <m:rad>
            <m:radPr>
              <m:degHide m:val="on"/>
            </m:radPr>
            <m:deg/>
            <m:e>
              <m:sSup>
                <m:e>
                  <m:d>
                    <m:dPr>
                      <m:begChr m:val="("/>
                      <m:sepChr m:val=""/>
                      <m:endChr m:val=")"/>
                      <m:grow/>
                    </m:dPr>
                    <m:e>
                      <m:r>
                        <m:t>x</m:t>
                      </m:r>
                      <m:r>
                        <m:t>3</m:t>
                      </m:r>
                      <m:r>
                        <m:rPr>
                          <m:sty m:val="p"/>
                        </m:rPr>
                        <m:t>−</m:t>
                      </m:r>
                      <m:r>
                        <m:t>x</m:t>
                      </m:r>
                      <m:r>
                        <m:t>2</m:t>
                      </m:r>
                    </m:e>
                  </m:d>
                </m:e>
                <m:sup>
                  <m:r>
                    <m:t>2</m:t>
                  </m:r>
                </m:sup>
              </m:sSup>
              <m:r>
                <m:rPr>
                  <m:sty m:val="p"/>
                </m:rPr>
                <m:t>+</m:t>
              </m:r>
              <m:sSup>
                <m:e>
                  <m:d>
                    <m:dPr>
                      <m:begChr m:val="("/>
                      <m:sepChr m:val=""/>
                      <m:endChr m:val=")"/>
                      <m:grow/>
                    </m:dPr>
                    <m:e>
                      <m:r>
                        <m:t>y</m:t>
                      </m:r>
                      <m:r>
                        <m:t>3</m:t>
                      </m:r>
                      <m:r>
                        <m:rPr>
                          <m:sty m:val="p"/>
                        </m:rPr>
                        <m:t>–</m:t>
                      </m:r>
                      <m:r>
                        <m:t>y</m:t>
                      </m:r>
                      <m:r>
                        <m:t>2</m:t>
                      </m:r>
                    </m:e>
                  </m:d>
                </m:e>
                <m:sup>
                  <m:r>
                    <m:t>2</m:t>
                  </m:r>
                </m:sup>
              </m:sSup>
            </m:e>
          </m:rad>
          <m:r>
            <m:rPr>
              <m:sty m:val="p"/>
            </m:rPr>
            <m:t>+</m:t>
          </m:r>
          <m:rad>
            <m:radPr>
              <m:degHide m:val="on"/>
            </m:radPr>
            <m:deg/>
            <m:e>
              <m:sSup>
                <m:e>
                  <m:d>
                    <m:dPr>
                      <m:begChr m:val="("/>
                      <m:sepChr m:val=""/>
                      <m:endChr m:val=")"/>
                      <m:grow/>
                    </m:dPr>
                    <m:e>
                      <m:r>
                        <m:t>x</m:t>
                      </m:r>
                      <m:r>
                        <m:t>1</m:t>
                      </m:r>
                      <m:r>
                        <m:rPr>
                          <m:sty m:val="p"/>
                        </m:rPr>
                        <m:t>−</m:t>
                      </m:r>
                      <m:r>
                        <m:t>x</m:t>
                      </m:r>
                      <m:r>
                        <m:t>3</m:t>
                      </m:r>
                    </m:e>
                  </m:d>
                </m:e>
                <m:sup>
                  <m:r>
                    <m:t>2</m:t>
                  </m:r>
                </m:sup>
              </m:sSup>
              <m:r>
                <m:rPr>
                  <m:sty m:val="p"/>
                </m:rPr>
                <m:t>+</m:t>
              </m:r>
              <m:sSup>
                <m:e>
                  <m:d>
                    <m:dPr>
                      <m:begChr m:val="("/>
                      <m:sepChr m:val=""/>
                      <m:endChr m:val=")"/>
                      <m:grow/>
                    </m:dPr>
                    <m:e>
                      <m:r>
                        <m:t>y</m:t>
                      </m:r>
                      <m:r>
                        <m:t>1</m:t>
                      </m:r>
                      <m:r>
                        <m:rPr>
                          <m:sty m:val="p"/>
                        </m:rPr>
                        <m:t>–</m:t>
                      </m:r>
                      <m:r>
                        <m:t>y</m:t>
                      </m:r>
                      <m:r>
                        <m:t>3</m:t>
                      </m:r>
                    </m:e>
                  </m:d>
                </m:e>
                <m:sup>
                  <m:r>
                    <m:t>2</m:t>
                  </m:r>
                </m:sup>
              </m:sSup>
            </m:e>
          </m:rad>
          <m:r>
            <m:t>  </m:t>
          </m:r>
          <m:d>
            <m:dPr>
              <m:begChr m:val="("/>
              <m:sepChr m:val=""/>
              <m:endChr m:val=")"/>
              <m:grow/>
            </m:dPr>
            <m:e>
              <m:r>
                <m:t>3</m:t>
              </m:r>
            </m:e>
          </m:d>
        </m:oMath>
      </m:oMathPara>
      <w:bookmarkEnd w:id="52"/>
    </w:p>
    <w:p>
      <w:pPr>
        <w:pStyle w:val="FirstParagraph"/>
      </w:pPr>
      <w:r>
        <w:t xml:space="preserve">Each stimuli’s area is then averaged by participants. The area metric is</w:t>
      </w:r>
      <w:r>
        <w:t xml:space="preserve"> </w:t>
      </w:r>
      <w:r>
        <w:t xml:space="preserve">in % of the screen area to be able to compare with the consistency</w:t>
      </w:r>
      <w:r>
        <w:t xml:space="preserve"> </w:t>
      </w:r>
      <w:r>
        <w:t xml:space="preserve">across studies using different screen sizes. In addition, since also</w:t>
      </w:r>
      <w:r>
        <w:t xml:space="preserve"> </w:t>
      </w:r>
      <w:r>
        <w:t xml:space="preserve">individual spread of responses can vary, we calculated area and</w:t>
      </w:r>
      <w:r>
        <w:t xml:space="preserve"> </w:t>
      </w:r>
      <w:r>
        <w:t xml:space="preserve">perimeters on individually z-score transformed x,y coordinates.</w:t>
      </w:r>
    </w:p>
    <w:bookmarkEnd w:id="53"/>
    <w:bookmarkStart w:id="55" w:name="sec-permuted-consistency-"/>
    <w:p>
      <w:pPr>
        <w:pStyle w:val="Heading3"/>
      </w:pPr>
      <w:r>
        <w:t xml:space="preserve">Permuted consistency</w:t>
      </w:r>
    </w:p>
    <w:p>
      <w:pPr>
        <w:pStyle w:val="FirstParagraph"/>
      </w:pPr>
      <w:r>
        <w:t xml:space="preserve">Next, we reproduce</w:t>
      </w:r>
      <w:r>
        <w:t xml:space="preserve"> </w:t>
      </w:r>
      <w:r>
        <w:t xml:space="preserve">(</w:t>
      </w:r>
      <w:hyperlink w:anchor="ref-root2021">
        <w:r>
          <w:rPr>
            <w:rStyle w:val="Hyperlink"/>
          </w:rPr>
          <w:t xml:space="preserve">Root et al., 2021</w:t>
        </w:r>
      </w:hyperlink>
      <w:r>
        <w:t xml:space="preserve">)</w:t>
      </w:r>
      <w:r>
        <w:t xml:space="preserve"> </w:t>
      </w:r>
      <w:r>
        <w:t xml:space="preserve">permuted consistency method. For each</w:t>
      </w:r>
      <w:r>
        <w:t xml:space="preserve"> </w:t>
      </w:r>
      <w:r>
        <w:t xml:space="preserve">individual, the x and y coordinates are randomly permuted and the areas</w:t>
      </w:r>
      <w:r>
        <w:t xml:space="preserve"> </w:t>
      </w:r>
      <w:r>
        <w:t xml:space="preserve">are calculated. After 1000 permutations per individual, a z-score is</w:t>
      </w:r>
      <w:r>
        <w:t xml:space="preserve"> </w:t>
      </w:r>
      <w:r>
        <w:t xml:space="preserve">calculated with the observed means compared to the permuted</w:t>
      </w:r>
      <w:r>
        <w:t xml:space="preserve"> </w:t>
      </w:r>
      <w:r>
        <w:t xml:space="preserve">distribution, see</w:t>
      </w:r>
      <w:r>
        <w:t xml:space="preserve"> </w:t>
      </w:r>
      <w:hyperlink w:anchor="eq-zpermRoot">
        <w:r>
          <w:rPr>
            <w:rStyle w:val="Hyperlink"/>
          </w:rPr>
          <w:t xml:space="preserve">Equation 4</w:t>
        </w:r>
      </w:hyperlink>
      <w:r>
        <w:t xml:space="preserve">. The distribution of the permuted</w:t>
      </w:r>
      <w:r>
        <w:t xml:space="preserve"> </w:t>
      </w:r>
      <w:r>
        <w:t xml:space="preserve">results form an individual chance level distribution, hence the z-score</w:t>
      </w:r>
      <w:r>
        <w:t xml:space="preserve"> </w:t>
      </w:r>
      <w:r>
        <w:t xml:space="preserve">reflects where the observed area lies on the chance level distribution.</w:t>
      </w:r>
    </w:p>
    <w:p>
      <w:pPr>
        <w:pStyle w:val="BodyText"/>
      </w:pPr>
      <w:bookmarkStart w:id="54" w:name="eq-zpermRoot"/>
      <m:oMathPara>
        <m:oMathParaPr>
          <m:jc m:val="center"/>
        </m:oMathParaPr>
        <m:oMath>
          <m:r>
            <m:t>Z</m:t>
          </m:r>
          <m:r>
            <m:t>s</m:t>
          </m:r>
          <m:r>
            <m:t>c</m:t>
          </m:r>
          <m:r>
            <m:t>o</m:t>
          </m:r>
          <m:r>
            <m:t>r</m:t>
          </m:r>
          <m:r>
            <m:t>e</m:t>
          </m:r>
          <m:r>
            <m:rPr>
              <m:sty m:val="p"/>
            </m:rPr>
            <m:t>=</m:t>
          </m:r>
          <m:d>
            <m:dPr>
              <m:begChr m:val="["/>
              <m:sepChr m:val=""/>
              <m:endChr m:val="]"/>
              <m:grow/>
            </m:dPr>
            <m:e>
              <m:d>
                <m:dPr>
                  <m:begChr m:val="("/>
                  <m:sepChr m:val=""/>
                  <m:endChr m:val=")"/>
                  <m:grow/>
                </m:dPr>
                <m:e>
                  <m:r>
                    <m:t>O</m:t>
                  </m:r>
                  <m:r>
                    <m:t>b</m:t>
                  </m:r>
                  <m:r>
                    <m:t>s</m:t>
                  </m:r>
                  <m:r>
                    <m:t>e</m:t>
                  </m:r>
                  <m:r>
                    <m:t>r</m:t>
                  </m:r>
                  <m:r>
                    <m:t>v</m:t>
                  </m:r>
                  <m:r>
                    <m:t>e</m:t>
                  </m:r>
                  <m:r>
                    <m:t>d</m:t>
                  </m:r>
                </m:e>
              </m:d>
              <m:r>
                <m:rPr>
                  <m:sty m:val="p"/>
                </m:rPr>
                <m:t>–</m:t>
              </m:r>
              <m:d>
                <m:dPr>
                  <m:begChr m:val="("/>
                  <m:sepChr m:val=""/>
                  <m:endChr m:val=")"/>
                  <m:grow/>
                </m:dPr>
                <m:e>
                  <m:r>
                    <m:t>M</m:t>
                  </m:r>
                  <m:r>
                    <m:t>e</m:t>
                  </m:r>
                  <m:r>
                    <m:t>a</m:t>
                  </m:r>
                  <m:r>
                    <m:t>n</m:t>
                  </m:r>
                  <m:r>
                    <m:t>P</m:t>
                  </m:r>
                  <m:r>
                    <m:t>e</m:t>
                  </m:r>
                  <m:r>
                    <m:t>r</m:t>
                  </m:r>
                  <m:r>
                    <m:t>m</m:t>
                  </m:r>
                  <m:r>
                    <m:t>u</m:t>
                  </m:r>
                  <m:r>
                    <m:t>t</m:t>
                  </m:r>
                  <m:r>
                    <m:t>e</m:t>
                  </m:r>
                  <m:r>
                    <m:t>d</m:t>
                  </m:r>
                </m:e>
              </m:d>
            </m:e>
          </m:d>
          <m:r>
            <m:rPr>
              <m:sty m:val="p"/>
            </m:rPr>
            <m:t>/</m:t>
          </m:r>
          <m:d>
            <m:dPr>
              <m:begChr m:val="("/>
              <m:sepChr m:val=""/>
              <m:endChr m:val=")"/>
              <m:grow/>
            </m:dPr>
            <m:e>
              <m:r>
                <m:t>S</m:t>
              </m:r>
              <m:r>
                <m:t>D</m:t>
              </m:r>
              <m:r>
                <m:t>P</m:t>
              </m:r>
              <m:r>
                <m:t>e</m:t>
              </m:r>
              <m:r>
                <m:t>r</m:t>
              </m:r>
              <m:r>
                <m:t>m</m:t>
              </m:r>
              <m:r>
                <m:t>u</m:t>
              </m:r>
              <m:r>
                <m:t>t</m:t>
              </m:r>
              <m:r>
                <m:t>e</m:t>
              </m:r>
              <m:r>
                <m:t>d</m:t>
              </m:r>
            </m:e>
          </m:d>
          <m:r>
            <m:t>  </m:t>
          </m:r>
          <m:d>
            <m:dPr>
              <m:begChr m:val="("/>
              <m:sepChr m:val=""/>
              <m:endChr m:val=")"/>
              <m:grow/>
            </m:dPr>
            <m:e>
              <m:r>
                <m:t>4</m:t>
              </m:r>
            </m:e>
          </m:d>
        </m:oMath>
      </m:oMathPara>
      <w:bookmarkEnd w:id="54"/>
    </w:p>
    <w:bookmarkEnd w:id="55"/>
    <w:bookmarkStart w:id="56" w:name="sec-category-level-additional-features"/>
    <w:p>
      <w:pPr>
        <w:pStyle w:val="Heading3"/>
      </w:pPr>
      <w:r>
        <w:t xml:space="preserve">Form level: additional features</w:t>
      </w:r>
    </w:p>
    <w:p>
      <w:pPr>
        <w:pStyle w:val="FirstParagraph"/>
      </w:pPr>
      <w:r>
        <w:t xml:space="preserve">First, we extract the number of</w:t>
      </w:r>
      <w:r>
        <w:t xml:space="preserve"> </w:t>
      </w:r>
      <w:r>
        <w:rPr>
          <w:i/>
          <w:iCs/>
        </w:rPr>
        <w:t xml:space="preserve">self-intersections</w:t>
      </w:r>
      <w:r>
        <w:t xml:space="preserve"> </w:t>
      </w:r>
      <w:r>
        <w:t xml:space="preserve">of each segments.</w:t>
      </w:r>
      <w:r>
        <w:t xml:space="preserve"> </w:t>
      </w:r>
      <w:r>
        <w:t xml:space="preserve">Conceptually, SSS should have less chance to produce that self-intersect</w:t>
      </w:r>
      <w:r>
        <w:t xml:space="preserve"> </w:t>
      </w:r>
      <w:r>
        <w:t xml:space="preserve">than control. The number of self-intersections are added separately for</w:t>
      </w:r>
      <w:r>
        <w:t xml:space="preserve"> </w:t>
      </w:r>
      <w:r>
        <w:t xml:space="preserve">each repetitions and conditions and averaged per participants.</w:t>
      </w:r>
    </w:p>
    <w:p>
      <w:pPr>
        <w:pStyle w:val="BodyText"/>
      </w:pPr>
      <w:r>
        <w:t xml:space="preserve">The next geometrical features are extracted using the simple feature</w:t>
      </w:r>
      <w:r>
        <w:t xml:space="preserve"> </w:t>
      </w:r>
      <w:r>
        <w:rPr>
          <w:rStyle w:val="VerbatimChar"/>
        </w:rPr>
        <w:t xml:space="preserve">sf</w:t>
      </w:r>
      <w:r>
        <w:t xml:space="preserve"> </w:t>
      </w:r>
      <w:r>
        <w:t xml:space="preserve">package</w:t>
      </w:r>
      <w:r>
        <w:t xml:space="preserve"> </w:t>
      </w:r>
      <w:r>
        <w:t xml:space="preserve">(</w:t>
      </w:r>
      <w:hyperlink w:anchor="ref-pebesma2018">
        <w:r>
          <w:rPr>
            <w:rStyle w:val="Hyperlink"/>
          </w:rPr>
          <w:t xml:space="preserve">Pebesma, 2018</w:t>
        </w:r>
      </w:hyperlink>
      <w:r>
        <w:t xml:space="preserve">)</w:t>
      </w:r>
      <w:r>
        <w:t xml:space="preserve"> </w:t>
      </w:r>
      <w:r>
        <w:t xml:space="preserve">to generate ordered segments and polygons</w:t>
      </w:r>
      <w:r>
        <w:t xml:space="preserve"> </w:t>
      </w:r>
      <w:r>
        <w:t xml:space="preserve">based on the individually z-score transformed x and y coordinates.</w:t>
      </w:r>
      <w:r>
        <w:t xml:space="preserve"> </w:t>
      </w:r>
      <w:r>
        <w:rPr>
          <w:rStyle w:val="VerbatimChar"/>
        </w:rPr>
        <w:t xml:space="preserve">sf</w:t>
      </w:r>
      <w:r>
        <w:t xml:space="preserve"> </w:t>
      </w:r>
      <w:r>
        <w:t xml:space="preserve">has originally been developed for geography.</w:t>
      </w:r>
    </w:p>
    <w:p>
      <w:pPr>
        <w:pStyle w:val="BodyText"/>
      </w:pPr>
      <w:r>
        <w:rPr>
          <w:b/>
          <w:bCs/>
        </w:rPr>
        <w:t xml:space="preserve">Topological validity.</w:t>
      </w:r>
      <w:r>
        <w:t xml:space="preserve"> </w:t>
      </w:r>
      <w:r>
        <w:t xml:space="preserve">We assessed topological validity using</w:t>
      </w:r>
      <w:r>
        <w:t xml:space="preserve"> </w:t>
      </w:r>
      <w:r>
        <w:t xml:space="preserve">geometric validation test. Topological validity tests if a polygons is</w:t>
      </w:r>
      <w:r>
        <w:t xml:space="preserve"> </w:t>
      </w:r>
      <w:r>
        <w:t xml:space="preserve">well-formed and valid according to the Open Geospatial Consortium (OGC)</w:t>
      </w:r>
      <w:r>
        <w:t xml:space="preserve"> </w:t>
      </w:r>
      <w:r>
        <w:t xml:space="preserve">Simple Features Specification</w:t>
      </w:r>
      <w:r>
        <w:t xml:space="preserve"> </w:t>
      </w:r>
      <w:r>
        <w:t xml:space="preserve">(</w:t>
      </w:r>
      <w:hyperlink w:anchor="ref-herring2010">
        <w:r>
          <w:rPr>
            <w:rStyle w:val="Hyperlink"/>
          </w:rPr>
          <w:t xml:space="preserve">Herring, 2010</w:t>
        </w:r>
      </w:hyperlink>
      <w:r>
        <w:t xml:space="preserve">)</w:t>
      </w:r>
      <w:r>
        <w:t xml:space="preserve">. A polygon is considered</w:t>
      </w:r>
      <w:r>
        <w:t xml:space="preserve"> </w:t>
      </w:r>
      <w:r>
        <w:t xml:space="preserve">topologically valid if it satisfies the following criteria: (1) if</w:t>
      </w:r>
      <w:r>
        <w:t xml:space="preserve"> </w:t>
      </w:r>
      <w:r>
        <w:t xml:space="preserve">polygon rings are simple (i.e., they do not touch or self-intersect),</w:t>
      </w:r>
      <w:r>
        <w:t xml:space="preserve"> </w:t>
      </w:r>
      <w:r>
        <w:t xml:space="preserve">(2) boundary rings to not cross (3) boundary rings may only touch points</w:t>
      </w:r>
      <w:r>
        <w:t xml:space="preserve"> </w:t>
      </w:r>
      <w:r>
        <w:t xml:space="preserve">tangentially (4) rings that define holes are contained within the</w:t>
      </w:r>
      <w:r>
        <w:t xml:space="preserve"> </w:t>
      </w:r>
      <w:r>
        <w:t xml:space="preserve">exterior ring (5) the polygon rings must not splits the polygon</w:t>
      </w:r>
      <w:r>
        <w:t xml:space="preserve"> </w:t>
      </w:r>
      <w:r>
        <w:t xml:space="preserve">(</w:t>
      </w:r>
      <w:hyperlink w:anchor="ref-postgis">
        <w:r>
          <w:rPr>
            <w:rStyle w:val="Hyperlink"/>
            <w:i/>
            <w:iCs/>
          </w:rPr>
          <w:t xml:space="preserve">PostGIS 3.6.2dev Manual</w:t>
        </w:r>
        <w:r>
          <w:rPr>
            <w:rStyle w:val="Hyperlink"/>
          </w:rPr>
          <w:t xml:space="preserve">, n.d.</w:t>
        </w:r>
      </w:hyperlink>
      <w:r>
        <w:t xml:space="preserve">)</w:t>
      </w:r>
      <w:r>
        <w:t xml:space="preserve">.</w:t>
      </w:r>
    </w:p>
    <w:p>
      <w:pPr>
        <w:pStyle w:val="BodyText"/>
      </w:pPr>
      <w:r>
        <w:t xml:space="preserve">For each participant we tested for topological validity across</w:t>
      </w:r>
      <w:r>
        <w:t xml:space="preserve"> </w:t>
      </w:r>
      <w:r>
        <w:t xml:space="preserve">individual 3 categories (weekdays, month and numbers) and 3 repetitions,</w:t>
      </w:r>
      <w:r>
        <w:t xml:space="preserve"> </w:t>
      </w:r>
      <w:r>
        <w:t xml:space="preserve">hence 9 forms. The binary outcome (1 = is valid, 0 = invalid) is then</w:t>
      </w:r>
      <w:r>
        <w:t xml:space="preserve"> </w:t>
      </w:r>
      <w:r>
        <w:t xml:space="preserve">averaged across all 9 forms. Hence, it can span from 1 (all 9 are valid)</w:t>
      </w:r>
      <w:r>
        <w:t xml:space="preserve"> </w:t>
      </w:r>
      <w:r>
        <w:t xml:space="preserve">to 0 (none of the 9 forms are valid). Thus, the topological validity</w:t>
      </w:r>
      <w:r>
        <w:t xml:space="preserve"> </w:t>
      </w:r>
      <w:r>
        <w:t xml:space="preserve">score ranges from 0 (none of the nine forms are valid) to 1 (all nine</w:t>
      </w:r>
      <w:r>
        <w:t xml:space="preserve"> </w:t>
      </w:r>
      <w:r>
        <w:t xml:space="preserve">forms are valid). For example, if a participant’s forms for weekdays</w:t>
      </w:r>
      <w:r>
        <w:t xml:space="preserve"> </w:t>
      </w:r>
      <w:r>
        <w:t xml:space="preserve">were valid across all three repetitions, months were valid in two of</w:t>
      </w:r>
      <w:r>
        <w:t xml:space="preserve"> </w:t>
      </w:r>
      <w:r>
        <w:t xml:space="preserve">three repetitions, and numbers were invalid in all repetitions, the</w:t>
      </w:r>
      <w:r>
        <w:t xml:space="preserve"> </w:t>
      </w:r>
      <w:r>
        <w:t xml:space="preserve">topological validity score would be 5/9 ≈ 0.56.</w:t>
      </w:r>
    </w:p>
    <w:p>
      <w:pPr>
        <w:pStyle w:val="BodyText"/>
      </w:pPr>
      <w:r>
        <w:rPr>
          <w:b/>
          <w:bCs/>
        </w:rPr>
        <w:t xml:space="preserve">Topological simplicity.</w:t>
      </w:r>
      <w:r>
        <w:t xml:space="preserve"> </w:t>
      </w:r>
      <w:r>
        <w:t xml:space="preserve">We assessed topological simplicity, which</w:t>
      </w:r>
      <w:r>
        <w:t xml:space="preserve"> </w:t>
      </w:r>
      <w:r>
        <w:t xml:space="preserve">evaluates whether a geometric object has a simple structure without</w:t>
      </w:r>
      <w:r>
        <w:t xml:space="preserve"> </w:t>
      </w:r>
      <w:r>
        <w:t xml:space="preserve">self-intersections or self-tangencies. According to the OGC Simple</w:t>
      </w:r>
      <w:r>
        <w:t xml:space="preserve"> </w:t>
      </w:r>
      <w:r>
        <w:t xml:space="preserve">Features Specification</w:t>
      </w:r>
      <w:r>
        <w:t xml:space="preserve"> </w:t>
      </w:r>
      <w:r>
        <w:t xml:space="preserve">(</w:t>
      </w:r>
      <w:hyperlink w:anchor="ref-herring2010">
        <w:r>
          <w:rPr>
            <w:rStyle w:val="Hyperlink"/>
          </w:rPr>
          <w:t xml:space="preserve">Herring, 2010</w:t>
        </w:r>
      </w:hyperlink>
      <w:r>
        <w:t xml:space="preserve">)</w:t>
      </w:r>
      <w:r>
        <w:t xml:space="preserve">, a polygon boundary is considered</w:t>
      </w:r>
      <w:r>
        <w:t xml:space="preserve"> </w:t>
      </w:r>
      <w:r>
        <w:t xml:space="preserve">simple if it does not pass through the same point more than once</w:t>
      </w:r>
      <w:r>
        <w:t xml:space="preserve"> </w:t>
      </w:r>
      <w:r>
        <w:t xml:space="preserve">(</w:t>
      </w:r>
      <w:hyperlink w:anchor="ref-postgis">
        <w:r>
          <w:rPr>
            <w:rStyle w:val="Hyperlink"/>
            <w:i/>
            <w:iCs/>
          </w:rPr>
          <w:t xml:space="preserve">PostGIS 3.6.2dev Manual</w:t>
        </w:r>
        <w:r>
          <w:rPr>
            <w:rStyle w:val="Hyperlink"/>
          </w:rPr>
          <w:t xml:space="preserve">, n.d.</w:t>
        </w:r>
      </w:hyperlink>
      <w:r>
        <w:t xml:space="preserve">)</w:t>
      </w:r>
      <w:r>
        <w:t xml:space="preserve">. For polygons, simplicity requires that each ring does not</w:t>
      </w:r>
      <w:r>
        <w:t xml:space="preserve"> </w:t>
      </w:r>
      <w:r>
        <w:t xml:space="preserve">self-intersect or self-touch. Note that simplicity is a condition for</w:t>
      </w:r>
      <w:r>
        <w:t xml:space="preserve"> </w:t>
      </w:r>
      <w:r>
        <w:t xml:space="preserve">validity: a polygon can be simple but still invalid (e.g., if an</w:t>
      </w:r>
      <w:r>
        <w:t xml:space="preserve"> </w:t>
      </w:r>
      <w:r>
        <w:t xml:space="preserve">interior ring extends outside the exterior ring).</w:t>
      </w:r>
    </w:p>
    <w:p>
      <w:pPr>
        <w:pStyle w:val="BodyText"/>
      </w:pPr>
      <w:r>
        <w:t xml:space="preserve">Finally, we also attempted a correlational approach. Conceptually,</w:t>
      </w:r>
      <w:r>
        <w:t xml:space="preserve"> </w:t>
      </w:r>
      <w:r>
        <w:t xml:space="preserve">consistent coordinates should correlate across repetitions and between</w:t>
      </w:r>
      <w:r>
        <w:t xml:space="preserve"> </w:t>
      </w:r>
      <w:r>
        <w:t xml:space="preserve">vertical and horizontal axes. We present a naive approach was to</w:t>
      </w:r>
      <w:r>
        <w:t xml:space="preserve"> </w:t>
      </w:r>
      <w:r>
        <w:t xml:space="preserve">correlate x and y coordinates across participants and conditions. For</w:t>
      </w:r>
      <w:r>
        <w:t xml:space="preserve"> </w:t>
      </w:r>
      <w:r>
        <w:t xml:space="preserve">example, correlate all x coordinates for weekdays (3*7 = 21) to the y</w:t>
      </w:r>
      <w:r>
        <w:t xml:space="preserve"> </w:t>
      </w:r>
      <w:r>
        <w:t xml:space="preserve">coordinates. Then the absolute correlations are averaged across</w:t>
      </w:r>
      <w:r>
        <w:t xml:space="preserve"> </w:t>
      </w:r>
      <w:r>
        <w:t xml:space="preserve">participants.</w:t>
      </w:r>
    </w:p>
    <w:bookmarkEnd w:id="56"/>
    <w:bookmarkStart w:id="57" w:name="sec-permutation-based-feature-extraction"/>
    <w:p>
      <w:pPr>
        <w:pStyle w:val="Heading3"/>
      </w:pPr>
      <w:r>
        <w:t xml:space="preserve">Permutation-based feature extraction</w:t>
      </w:r>
    </w:p>
    <w:p>
      <w:pPr>
        <w:pStyle w:val="FirstParagraph"/>
      </w:pPr>
      <w:r>
        <w:t xml:space="preserve">The form-based features computed before were relying on the</w:t>
      </w:r>
      <w:r>
        <w:t xml:space="preserve"> </w:t>
      </w:r>
      <w:r>
        <w:t xml:space="preserve">chronologically ordered repetitions. For example, when a stimulus such</w:t>
      </w:r>
      <w:r>
        <w:t xml:space="preserve"> </w:t>
      </w:r>
      <w:r>
        <w:t xml:space="preserve">as Monday was repeated three times, the coordinates for the first</w:t>
      </w:r>
      <w:r>
        <w:t xml:space="preserve"> </w:t>
      </w:r>
      <w:r>
        <w:t xml:space="preserve">presentation of Monday were always paired with the coordinates for the</w:t>
      </w:r>
      <w:r>
        <w:t xml:space="preserve"> </w:t>
      </w:r>
      <w:r>
        <w:t xml:space="preserve">first presentation of Tuesday to construct segments or polygons.</w:t>
      </w:r>
      <w:r>
        <w:t xml:space="preserve"> </w:t>
      </w:r>
      <w:r>
        <w:t xml:space="preserve">However, if synesthetic forms are truly consistent, they should remain</w:t>
      </w:r>
      <w:r>
        <w:t xml:space="preserve"> </w:t>
      </w:r>
      <w:r>
        <w:t xml:space="preserve">stable independently of the chronological order of stimulus</w:t>
      </w:r>
      <w:r>
        <w:t xml:space="preserve"> </w:t>
      </w:r>
      <w:r>
        <w:t xml:space="preserve">presentation. Hence, we permute the repetitions within each condition.</w:t>
      </w:r>
      <w:r>
        <w:t xml:space="preserve"> </w:t>
      </w:r>
      <w:r>
        <w:t xml:space="preserve">Specifically, for each participant and each category, we randomized the</w:t>
      </w:r>
      <w:r>
        <w:t xml:space="preserve"> </w:t>
      </w:r>
      <w:r>
        <w:t xml:space="preserve">response repetition order. For example segments for weekdays were</w:t>
      </w:r>
      <w:r>
        <w:t xml:space="preserve"> </w:t>
      </w:r>
      <w:r>
        <w:t xml:space="preserve">constructed with the x,y coordinates where randomly permuted across</w:t>
      </w:r>
      <w:r>
        <w:t xml:space="preserve"> </w:t>
      </w:r>
      <w:r>
        <w:t xml:space="preserve">repetition order, for example</w:t>
      </w:r>
      <w:r>
        <w:t xml:space="preserve"> </w:t>
      </w:r>
      <m:oMath>
        <m:r>
          <m:t>M</m:t>
        </m:r>
        <m:r>
          <m:t>o</m:t>
        </m:r>
        <m:r>
          <m:t>n</m:t>
        </m:r>
        <m:r>
          <m:t>d</m:t>
        </m:r>
        <m:r>
          <m:t>a</m:t>
        </m:r>
        <m:r>
          <m:t>y</m:t>
        </m:r>
        <m:sSup>
          <m:e>
            <m:r>
              <m:t>1</m:t>
            </m:r>
          </m:e>
          <m:sup>
            <m:r>
              <m:t>s</m:t>
            </m:r>
            <m:r>
              <m:t>t</m:t>
            </m:r>
          </m:sup>
        </m:sSup>
      </m:oMath>
      <w:r>
        <w:t xml:space="preserve">,</w:t>
      </w:r>
      <w:r>
        <w:t xml:space="preserve"> </w:t>
      </w:r>
      <m:oMath>
        <m:r>
          <m:t>T</m:t>
        </m:r>
        <m:r>
          <m:t>u</m:t>
        </m:r>
        <m:r>
          <m:t>e</m:t>
        </m:r>
        <m:r>
          <m:t>s</m:t>
        </m:r>
        <m:r>
          <m:t>d</m:t>
        </m:r>
        <m:r>
          <m:t>a</m:t>
        </m:r>
        <m:sSup>
          <m:e>
            <m:r>
              <m:t>y</m:t>
            </m:r>
          </m:e>
          <m:sup>
            <m:r>
              <m:t>3</m:t>
            </m:r>
            <m:r>
              <m:t>r</m:t>
            </m:r>
            <m:r>
              <m:t>d</m:t>
            </m:r>
          </m:sup>
        </m:sSup>
      </m:oMath>
      <w:r>
        <w:t xml:space="preserve">,</w:t>
      </w:r>
      <w:r>
        <w:t xml:space="preserve"> </w:t>
      </w:r>
      <m:oMath>
        <m:r>
          <m:t>W</m:t>
        </m:r>
        <m:r>
          <m:t>e</m:t>
        </m:r>
        <m:r>
          <m:t>d</m:t>
        </m:r>
        <m:r>
          <m:t>n</m:t>
        </m:r>
        <m:r>
          <m:t>e</m:t>
        </m:r>
        <m:r>
          <m:t>s</m:t>
        </m:r>
        <m:r>
          <m:t>d</m:t>
        </m:r>
        <m:r>
          <m:t>a</m:t>
        </m:r>
        <m:sSup>
          <m:e>
            <m:r>
              <m:t>y</m:t>
            </m:r>
          </m:e>
          <m:sup>
            <m:r>
              <m:t>2</m:t>
            </m:r>
            <m:r>
              <m:t>n</m:t>
            </m:r>
            <m:r>
              <m:t>d</m:t>
            </m:r>
          </m:sup>
        </m:sSup>
      </m:oMath>
      <w:r>
        <w:t xml:space="preserve">, ect.</w:t>
      </w:r>
    </w:p>
    <w:bookmarkEnd w:id="57"/>
    <w:bookmarkEnd w:id="58"/>
    <w:bookmarkEnd w:id="59"/>
    <w:bookmarkStart w:id="62" w:name="phase-i.-results"/>
    <w:p>
      <w:pPr>
        <w:pStyle w:val="Heading1"/>
      </w:pPr>
      <w:r>
        <w:rPr>
          <w:i/>
          <w:iCs/>
        </w:rPr>
        <w:t xml:space="preserve">Phase I.</w:t>
      </w:r>
      <w:r>
        <w:t xml:space="preserve"> </w:t>
      </w:r>
      <w:r>
        <w:t xml:space="preserve">Results</w:t>
      </w:r>
    </w:p>
    <w:p>
      <w:pPr>
        <w:pStyle w:val="FirstParagraph"/>
      </w:pPr>
      <w:r>
        <w:t xml:space="preserve">Descriptively, the area between repetition for SSS was surprisingly</w:t>
      </w:r>
      <w:r>
        <w:t xml:space="preserve"> </w:t>
      </w:r>
      <w:r>
        <w:t xml:space="preserve">larger than for other datasets: 0.26%, compared to 0.14% in Rothen</w:t>
      </w:r>
      <w:r>
        <w:t xml:space="preserve"> </w:t>
      </w:r>
      <w:r>
        <w:t xml:space="preserve">(</w:t>
      </w:r>
      <w:hyperlink w:anchor="ref-rothen2016">
        <w:r>
          <w:rPr>
            <w:rStyle w:val="Hyperlink"/>
          </w:rPr>
          <w:t xml:space="preserve">2016a</w:t>
        </w:r>
      </w:hyperlink>
      <w:r>
        <w:t xml:space="preserve">)</w:t>
      </w:r>
      <w:r>
        <w:t xml:space="preserve"> </w:t>
      </w:r>
      <w:r>
        <w:t xml:space="preserve">and 0.15 % in Ward</w:t>
      </w:r>
      <w:r>
        <w:t xml:space="preserve"> </w:t>
      </w:r>
      <w:r>
        <w:t xml:space="preserve">(</w:t>
      </w:r>
      <w:hyperlink w:anchor="ref-ward2018">
        <w:r>
          <w:rPr>
            <w:rStyle w:val="Hyperlink"/>
          </w:rPr>
          <w:t xml:space="preserve">2018</w:t>
        </w:r>
      </w:hyperlink>
      <w:r>
        <w:t xml:space="preserve">)</w:t>
      </w:r>
      <w:r>
        <w:t xml:space="preserve">, see</w:t>
      </w:r>
      <w:r>
        <w:t xml:space="preserve"> </w:t>
      </w:r>
      <w:hyperlink w:anchor="tbl-mytb01">
        <w:r>
          <w:rPr>
            <w:rStyle w:val="Hyperlink"/>
          </w:rPr>
          <w:t xml:space="preserve">Table 4</w:t>
        </w:r>
      </w:hyperlink>
      <w:r>
        <w:t xml:space="preserve">. This</w:t>
      </w:r>
      <w:r>
        <w:t xml:space="preserve"> </w:t>
      </w:r>
      <w:r>
        <w:t xml:space="preserve">difference seems to be mainly driven by the dataset with more</w:t>
      </w:r>
      <w:r>
        <w:t xml:space="preserve"> </w:t>
      </w:r>
      <w:r>
        <w:t xml:space="preserve">participants from</w:t>
      </w:r>
      <w:r>
        <w:t xml:space="preserve"> </w:t>
      </w:r>
      <w:r>
        <w:t xml:space="preserve">(</w:t>
      </w:r>
      <w:hyperlink w:anchor="ref-ward2022a">
        <w:r>
          <w:rPr>
            <w:rStyle w:val="Hyperlink"/>
          </w:rPr>
          <w:t xml:space="preserve">Ward, 2022</w:t>
        </w:r>
      </w:hyperlink>
      <w:r>
        <w:t xml:space="preserve">)</w:t>
      </w:r>
      <w:r>
        <w:t xml:space="preserve"> </w:t>
      </w:r>
      <w:r>
        <w:t xml:space="preserve">with 0.26% area. Note that despite being</w:t>
      </w:r>
      <w:r>
        <w:t xml:space="preserve"> </w:t>
      </w:r>
      <w:r>
        <w:t xml:space="preserve">the largest sample it is also the more variable with regards to areas:</w:t>
      </w:r>
      <w:r>
        <w:t xml:space="preserve"> </w:t>
      </w:r>
      <w:r>
        <w:rPr>
          <w:i/>
          <w:iCs/>
        </w:rPr>
        <w:t xml:space="preserve">SD = 0.50</w:t>
      </w:r>
      <w:r>
        <w:t xml:space="preserve"> </w:t>
      </w:r>
      <w:r>
        <w:t xml:space="preserve">% for the Ward’s</w:t>
      </w:r>
      <w:r>
        <w:t xml:space="preserve"> </w:t>
      </w:r>
      <w:r>
        <w:t xml:space="preserve">(</w:t>
      </w:r>
      <w:hyperlink w:anchor="ref-ward2022a">
        <w:r>
          <w:rPr>
            <w:rStyle w:val="Hyperlink"/>
          </w:rPr>
          <w:t xml:space="preserve">2022</w:t>
        </w:r>
      </w:hyperlink>
      <w:r>
        <w:t xml:space="preserve">)</w:t>
      </w:r>
      <w:r>
        <w:t xml:space="preserve"> </w:t>
      </w:r>
      <w:r>
        <w:t xml:space="preserve">data compared to</w:t>
      </w:r>
      <w:r>
        <w:t xml:space="preserve"> </w:t>
      </w:r>
      <w:r>
        <w:rPr>
          <w:i/>
          <w:iCs/>
        </w:rPr>
        <w:t xml:space="preserve">SD = 0.09</w:t>
      </w:r>
      <w:r>
        <w:rPr>
          <w:i/>
          <w:iCs/>
        </w:rPr>
        <w:t xml:space="preserve"> </w:t>
      </w:r>
      <w:r>
        <w:rPr>
          <w:i/>
          <w:iCs/>
        </w:rPr>
        <w:t xml:space="preserve">%</w:t>
      </w:r>
      <w:r>
        <w:t xml:space="preserve"> </w:t>
      </w:r>
      <w:r>
        <w:t xml:space="preserve">in</w:t>
      </w:r>
      <w:r>
        <w:t xml:space="preserve"> </w:t>
      </w:r>
      <w:r>
        <w:t xml:space="preserve">Rothen et al. (</w:t>
      </w:r>
      <w:hyperlink w:anchor="ref-rothen2016">
        <w:r>
          <w:rPr>
            <w:rStyle w:val="Hyperlink"/>
          </w:rPr>
          <w:t xml:space="preserve">2016a</w:t>
        </w:r>
      </w:hyperlink>
      <w:r>
        <w:t xml:space="preserve">)</w:t>
      </w:r>
      <w:r>
        <w:t xml:space="preserve">], see</w:t>
      </w:r>
      <w:r>
        <w:t xml:space="preserve"> </w:t>
      </w:r>
      <w:hyperlink w:anchor="tbl-mytb4">
        <w:r>
          <w:rPr>
            <w:rStyle w:val="Hyperlink"/>
          </w:rPr>
          <w:t xml:space="preserve">Table A2</w:t>
        </w:r>
      </w:hyperlink>
      <w:r>
        <w:t xml:space="preserve">. This difference between datasets is</w:t>
      </w:r>
      <w:r>
        <w:t xml:space="preserve"> </w:t>
      </w:r>
      <w:r>
        <w:t xml:space="preserve">diminished when using individually standardized coordinates (M = 0.05</w:t>
      </w:r>
      <w:r>
        <w:t xml:space="preserve"> </w:t>
      </w:r>
      <w:r>
        <w:t xml:space="preserve">(</w:t>
      </w:r>
      <w:r>
        <w:rPr>
          <w:i/>
          <w:iCs/>
        </w:rPr>
        <w:t xml:space="preserve">SD = 0.06</w:t>
      </w:r>
      <w:r>
        <w:t xml:space="preserve">)</w:t>
      </w:r>
      <w:r>
        <w:t xml:space="preserve"> </w:t>
      </w:r>
      <w:r>
        <w:t xml:space="preserve">(</w:t>
      </w:r>
      <w:hyperlink w:anchor="ref-rothen2016">
        <w:r>
          <w:rPr>
            <w:rStyle w:val="Hyperlink"/>
          </w:rPr>
          <w:t xml:space="preserve">Rothen et al., 2016a</w:t>
        </w:r>
      </w:hyperlink>
      <w:r>
        <w:t xml:space="preserve">)</w:t>
      </w:r>
      <w:r>
        <w:t xml:space="preserve">, M = 0.08 (</w:t>
      </w:r>
      <w:r>
        <w:rPr>
          <w:i/>
          <w:iCs/>
        </w:rPr>
        <w:t xml:space="preserve">SD = 0.15</w:t>
      </w:r>
      <w:r>
        <w:t xml:space="preserve">)</w:t>
      </w:r>
      <w:r>
        <w:t xml:space="preserve"> </w:t>
      </w:r>
      <w:r>
        <w:t xml:space="preserve">(</w:t>
      </w:r>
      <w:hyperlink w:anchor="ref-ward2022a">
        <w:r>
          <w:rPr>
            <w:rStyle w:val="Hyperlink"/>
          </w:rPr>
          <w:t xml:space="preserve">Ward, 2022</w:t>
        </w:r>
      </w:hyperlink>
      <w:r>
        <w:t xml:space="preserve">)</w:t>
      </w:r>
      <w:r>
        <w:t xml:space="preserve">, M =</w:t>
      </w:r>
      <w:r>
        <w:t xml:space="preserve"> </w:t>
      </w:r>
      <w:r>
        <w:t xml:space="preserve">0.09 (</w:t>
      </w:r>
      <w:r>
        <w:rPr>
          <w:i/>
          <w:iCs/>
        </w:rPr>
        <w:t xml:space="preserve">SD = 0.15</w:t>
      </w:r>
      <w:r>
        <w:t xml:space="preserve">), Ward2). Hence, for the perimeter, we only consider</w:t>
      </w:r>
      <w:r>
        <w:t xml:space="preserve"> </w:t>
      </w:r>
      <w:r>
        <w:t xml:space="preserve">standardized coordinates.</w:t>
      </w:r>
    </w:p>
    <w:bookmarkStart w:id="60" w:name="roc-analysis"/>
    <w:p>
      <w:pPr>
        <w:pStyle w:val="Heading2"/>
      </w:pPr>
      <w:r>
        <w:t xml:space="preserve">ROC analysis</w:t>
      </w:r>
    </w:p>
    <w:p>
      <w:pPr>
        <w:pStyle w:val="FirstParagraph"/>
      </w:pPr>
      <w:r>
        <w:t xml:space="preserve">The results of the ROC analyses are summarized in</w:t>
      </w:r>
      <w:r>
        <w:t xml:space="preserve"> </w:t>
      </w:r>
      <w:hyperlink w:anchor="tbl-mytb3">
        <w:r>
          <w:rPr>
            <w:rStyle w:val="Hyperlink"/>
          </w:rPr>
          <w:t xml:space="preserve">Table 3</w:t>
        </w:r>
      </w:hyperlink>
      <w:r>
        <w:t xml:space="preserve"> </w:t>
      </w:r>
      <w:r>
        <w:t xml:space="preserve">and</w:t>
      </w:r>
      <w:r>
        <w:t xml:space="preserve"> </w:t>
      </w:r>
      <w:hyperlink w:anchor="fig-myplot2">
        <w:r>
          <w:rPr>
            <w:rStyle w:val="Hyperlink"/>
          </w:rPr>
          <w:t xml:space="preserve">Figure 2</w:t>
        </w:r>
      </w:hyperlink>
      <w:r>
        <w:t xml:space="preserve">. We compared all the ROC’s to permuted validity since it</w:t>
      </w:r>
      <w:r>
        <w:t xml:space="preserve"> </w:t>
      </w:r>
      <w:r>
        <w:t xml:space="preserve">has the highest AUC (80.09), using bootstrapping (1000 times), all</w:t>
      </w:r>
      <w:r>
        <w:t xml:space="preserve"> </w:t>
      </w:r>
      <w:r>
        <w:t xml:space="preserve">p-values false discovery rate (FDR) adjusted. We did not find any</w:t>
      </w:r>
      <w:r>
        <w:t xml:space="preserve"> </w:t>
      </w:r>
      <w:r>
        <w:t xml:space="preserve">significant difference in total AUC between permuted validity and</w:t>
      </w:r>
      <w:r>
        <w:t xml:space="preserve"> </w:t>
      </w:r>
      <w:r>
        <w:t xml:space="preserve">perimeter (D =</w:t>
      </w:r>
      <w:r>
        <w:t xml:space="preserve"> </w:t>
      </w:r>
      <w:r>
        <w:t xml:space="preserve">0.97,</w:t>
      </w:r>
      <w:r>
        <w:t xml:space="preserve"> </w:t>
      </w:r>
      <w:r>
        <w:rPr>
          <w:i/>
          <w:iCs/>
        </w:rPr>
        <w:t xml:space="preserve">p</w:t>
      </w:r>
      <w:r>
        <w:t xml:space="preserve"> </w:t>
      </w:r>
      <w:r>
        <w:t xml:space="preserve">=</w:t>
      </w:r>
      <w:r>
        <w:t xml:space="preserve"> </w:t>
      </w:r>
      <w:r>
        <w:t xml:space="preserve">0.34).</w:t>
      </w:r>
      <w:r>
        <w:t xml:space="preserve"> </w:t>
      </w:r>
      <w:r>
        <w:t xml:space="preserve">But the permuted validity led to significantly higher AUC than the non</w:t>
      </w:r>
      <w:r>
        <w:t xml:space="preserve"> </w:t>
      </w:r>
      <w:r>
        <w:t xml:space="preserve">permuted one (D =</w:t>
      </w:r>
      <w:r>
        <w:t xml:space="preserve"> </w:t>
      </w:r>
      <w:r>
        <w:t xml:space="preserve">3.16,</w:t>
      </w:r>
      <w:r>
        <w:t xml:space="preserve"> </w:t>
      </w:r>
      <w:r>
        <w:rPr>
          <w:i/>
          <w:iCs/>
        </w:rPr>
        <w:t xml:space="preserve">p</w:t>
      </w:r>
      <w:r>
        <w:t xml:space="preserve"> </w:t>
      </w:r>
      <w:r>
        <w:t xml:space="preserve">&lt; .05. Hence the two best AUC performances are from the averaged</w:t>
      </w:r>
      <w:r>
        <w:t xml:space="preserve"> </w:t>
      </w:r>
      <w:r>
        <w:t xml:space="preserve">permuted validity score (AUC =</w:t>
      </w:r>
      <w:r>
        <w:t xml:space="preserve"> </w:t>
      </w:r>
      <w:r>
        <w:t xml:space="preserve">80.09; DP =</w:t>
      </w:r>
      <w:r>
        <w:t xml:space="preserve"> </w:t>
      </w:r>
      <w:r>
        <w:t xml:space="preserve">2.06, cut-off =</w:t>
      </w:r>
      <w:r>
        <w:t xml:space="preserve"> </w:t>
      </w:r>
      <w:r>
        <w:t xml:space="preserve">0.17</w:t>
      </w:r>
      <w:r>
        <w:t xml:space="preserve"> </w:t>
      </w:r>
      <w:r>
        <w:t xml:space="preserve">corresponding to</w:t>
      </w:r>
      <w:r>
        <w:t xml:space="preserve"> </w:t>
      </w:r>
      <w:r>
        <w:t xml:space="preserve">1.53</w:t>
      </w:r>
      <w:r>
        <w:t xml:space="preserve"> </w:t>
      </w:r>
      <w:r>
        <w:t xml:space="preserve">valid of 9 forms) and the other for standardized perimeter between the</w:t>
      </w:r>
      <w:r>
        <w:t xml:space="preserve"> </w:t>
      </w:r>
      <w:r>
        <w:t xml:space="preserve">repetitions of each stimuli (AUC =</w:t>
      </w:r>
      <w:r>
        <w:t xml:space="preserve"> </w:t>
      </w:r>
      <w:r>
        <w:t xml:space="preserve">78.5; DP =</w:t>
      </w:r>
      <w:r>
        <w:t xml:space="preserve"> </w:t>
      </w:r>
      <w:r>
        <w:t xml:space="preserve">2.04, cut-off =</w:t>
      </w:r>
      <w:r>
        <w:t xml:space="preserve"> </w:t>
      </w:r>
      <w:r>
        <w:t xml:space="preserve">1.92</w:t>
      </w:r>
      <w:r>
        <w:t xml:space="preserve"> </w:t>
      </w:r>
      <w:r>
        <w:t xml:space="preserve">z-scores). However, at the proposed cut-off, the permuted validity leads</w:t>
      </w:r>
      <w:r>
        <w:t xml:space="preserve"> </w:t>
      </w:r>
      <w:r>
        <w:t xml:space="preserve">to higher specificity</w:t>
      </w:r>
      <w:r>
        <w:t xml:space="preserve"> </w:t>
      </w:r>
      <w:r>
        <w:t xml:space="preserve">(77.5</w:t>
      </w:r>
      <w:r>
        <w:t xml:space="preserve"> </w:t>
      </w:r>
      <w:r>
        <w:t xml:space="preserve">vs.</w:t>
      </w:r>
      <w:r>
        <w:t xml:space="preserve"> </w:t>
      </w:r>
      <w:r>
        <w:t xml:space="preserve">74.29)</w:t>
      </w:r>
      <w:r>
        <w:t xml:space="preserve"> </w:t>
      </w:r>
      <w:r>
        <w:t xml:space="preserve">hence best to reject controls (i.e. less false negatives) but smaller</w:t>
      </w:r>
      <w:r>
        <w:t xml:space="preserve"> </w:t>
      </w:r>
      <w:r>
        <w:t xml:space="preserve">sensitivity</w:t>
      </w:r>
      <w:r>
        <w:t xml:space="preserve"> </w:t>
      </w:r>
      <w:r>
        <w:t xml:space="preserve">(70.4</w:t>
      </w:r>
      <w:r>
        <w:t xml:space="preserve"> </w:t>
      </w:r>
      <w:r>
        <w:t xml:space="preserve">vs.</w:t>
      </w:r>
      <w:r>
        <w:t xml:space="preserve"> </w:t>
      </w:r>
      <w:r>
        <w:t xml:space="preserve">73.6),</w:t>
      </w:r>
      <w:r>
        <w:t xml:space="preserve"> </w:t>
      </w:r>
      <w:r>
        <w:t xml:space="preserve">hence perimeter is best at detecting SSS (i.e. leads to less false</w:t>
      </w:r>
      <w:r>
        <w:t xml:space="preserve"> </w:t>
      </w:r>
      <w:r>
        <w:t xml:space="preserve">positives). See</w:t>
      </w:r>
      <w:r>
        <w:t xml:space="preserve"> </w:t>
      </w:r>
      <w:hyperlink w:anchor="fig-myplot3">
        <w:r>
          <w:rPr>
            <w:rStyle w:val="Hyperlink"/>
          </w:rPr>
          <w:t xml:space="preserve">Figure A1</w:t>
        </w:r>
      </w:hyperlink>
      <w:r>
        <w:t xml:space="preserve"> </w:t>
      </w:r>
      <w:r>
        <w:t xml:space="preserve">in</w:t>
      </w:r>
      <w:r>
        <w:t xml:space="preserve"> </w:t>
      </w:r>
      <w:hyperlink w:anchor="sec-sm1-feature-distributions">
        <w:r>
          <w:rPr>
            <w:rStyle w:val="Hyperlink"/>
          </w:rPr>
          <w:t xml:space="preserve">Section 9.1</w:t>
        </w:r>
      </w:hyperlink>
      <w:r>
        <w:t xml:space="preserve"> </w:t>
      </w:r>
      <w:r>
        <w:t xml:space="preserve">for the</w:t>
      </w:r>
      <w:r>
        <w:t xml:space="preserve"> </w:t>
      </w:r>
      <w:r>
        <w:t xml:space="preserve">densities of each standardized features suggesting bi-modal distribution</w:t>
      </w:r>
      <w:r>
        <w:t xml:space="preserve"> </w:t>
      </w:r>
      <w:r>
        <w:t xml:space="preserve">(see also difference in median, see</w:t>
      </w:r>
      <w:r>
        <w:t xml:space="preserve"> </w:t>
      </w:r>
      <w:hyperlink w:anchor="tbl-mytb05">
        <w:r>
          <w:rPr>
            <w:rStyle w:val="Hyperlink"/>
          </w:rPr>
          <w:t xml:space="preserve">Table A1</w:t>
        </w:r>
      </w:hyperlink>
      <w:r>
        <w:t xml:space="preserve">.</w:t>
      </w:r>
    </w:p>
    <w:p>
      <w:pPr>
        <w:pStyle w:val="BodyText"/>
      </w:pPr>
      <w:r>
        <w:t xml:space="preserve">In sum, the permuted validity and perimeter both provide similarly best</w:t>
      </w:r>
      <w:r>
        <w:t xml:space="preserve"> </w:t>
      </w:r>
      <w:r>
        <w:t xml:space="preserve">AUC compared to the other features. While the permuted validity is best</w:t>
      </w:r>
      <w:r>
        <w:t xml:space="preserve"> </w:t>
      </w:r>
      <w:r>
        <w:t xml:space="preserve">to have less false negatives (i.e. controls) while perimeter is best for</w:t>
      </w:r>
      <w:r>
        <w:t xml:space="preserve"> </w:t>
      </w:r>
      <w:r>
        <w:t xml:space="preserve">less false positives (i.e. SSS).</w:t>
      </w:r>
    </w:p>
    <w:bookmarkEnd w:id="60"/>
    <w:bookmarkStart w:id="61" w:name="higher-order-analyses"/>
    <w:p>
      <w:pPr>
        <w:pStyle w:val="Heading2"/>
      </w:pPr>
      <w:r>
        <w:t xml:space="preserve">Higher-order analyses</w:t>
      </w:r>
    </w:p>
    <w:p>
      <w:pPr>
        <w:pStyle w:val="FirstParagraph"/>
      </w:pPr>
      <w:r>
        <w:t xml:space="preserve">Some features might be more suited when having well defined samples such</w:t>
      </w:r>
      <w:r>
        <w:t xml:space="preserve"> </w:t>
      </w:r>
      <w:r>
        <w:t xml:space="preserve">as</w:t>
      </w:r>
      <w:r>
        <w:t xml:space="preserve"> </w:t>
      </w:r>
      <w:r>
        <w:t xml:space="preserve">“strong”</w:t>
      </w:r>
      <w:r>
        <w:t xml:space="preserve"> </w:t>
      </w:r>
      <w:r>
        <w:t xml:space="preserve">SSS and controls with no spatial-forms at all than when</w:t>
      </w:r>
      <w:r>
        <w:t xml:space="preserve"> </w:t>
      </w:r>
      <w:r>
        <w:t xml:space="preserve">tested on more general population. To test the stability of AUC of all</w:t>
      </w:r>
      <w:r>
        <w:t xml:space="preserve"> </w:t>
      </w:r>
      <w:r>
        <w:t xml:space="preserve">features, we computed them across several percentiles based on the</w:t>
      </w:r>
      <w:r>
        <w:t xml:space="preserve"> </w:t>
      </w:r>
      <w:r>
        <w:t xml:space="preserve">questionnaire scores. Again, only the data from Pr. Ward is included</w:t>
      </w:r>
      <w:r>
        <w:t xml:space="preserve"> </w:t>
      </w:r>
      <w:r>
        <w:t xml:space="preserve">there. We computed AUC, sensitivity and sensibility on sub samples based</w:t>
      </w:r>
      <w:r>
        <w:t xml:space="preserve"> </w:t>
      </w:r>
      <w:r>
        <w:t xml:space="preserve">on the percentiles of the questionnaire scores</w:t>
      </w:r>
      <w:r>
        <w:t xml:space="preserve">(see</w:t>
      </w:r>
      <w:r>
        <w:t xml:space="preserve"> </w:t>
      </w:r>
      <w:hyperlink w:anchor="ref-ward2018">
        <w:r>
          <w:rPr>
            <w:rStyle w:val="Hyperlink"/>
          </w:rPr>
          <w:t xml:space="preserve">Ward et al., 2018</w:t>
        </w:r>
      </w:hyperlink>
      <w:r>
        <w:t xml:space="preserve">)</w:t>
      </w:r>
      <w:r>
        <w:t xml:space="preserve">, taking</w:t>
      </w:r>
      <w:r>
        <w:t xml:space="preserve"> </w:t>
      </w:r>
      <w:r>
        <w:t xml:space="preserve">the 10-0% highest questionnaire scores against the 10 % worst (i.e.</w:t>
      </w:r>
      <w:r>
        <w:t xml:space="preserve"> </w:t>
      </w:r>
      <w:r>
        <w:t xml:space="preserve">90-100 %) . We further sub-sampled by 10 % questionnaire scores and</w:t>
      </w:r>
      <w:r>
        <w:t xml:space="preserve"> </w:t>
      </w:r>
      <w:r>
        <w:t xml:space="preserve">recalculated AUC, sensitivity and sensibility, see</w:t>
      </w:r>
      <w:r>
        <w:t xml:space="preserve"> </w:t>
      </w:r>
      <w:hyperlink w:anchor="fig-myplot5">
        <w:r>
          <w:rPr>
            <w:rStyle w:val="Hyperlink"/>
          </w:rPr>
          <w:t xml:space="preserve">Figure A2</w:t>
        </w:r>
      </w:hyperlink>
      <w:r>
        <w:t xml:space="preserve"> </w:t>
      </w:r>
      <w:r>
        <w:t xml:space="preserve">for AUC</w:t>
      </w:r>
      <w:r>
        <w:t xml:space="preserve"> </w:t>
      </w:r>
      <w:r>
        <w:t xml:space="preserve">and</w:t>
      </w:r>
      <w:r>
        <w:t xml:space="preserve"> </w:t>
      </w:r>
      <w:hyperlink w:anchor="fig-myplot6">
        <w:r>
          <w:rPr>
            <w:rStyle w:val="Hyperlink"/>
          </w:rPr>
          <w:t xml:space="preserve">Figure A3</w:t>
        </w:r>
      </w:hyperlink>
      <w:r>
        <w:t xml:space="preserve"> </w:t>
      </w:r>
      <w:r>
        <w:t xml:space="preserve">for sensitivity and specificity. Using this method we</w:t>
      </w:r>
      <w:r>
        <w:t xml:space="preserve"> </w:t>
      </w:r>
      <w:r>
        <w:t xml:space="preserve">can see that while the total AUC remains stable across percentiles.</w:t>
      </w:r>
    </w:p>
    <w:p>
      <w:pPr>
        <w:pStyle w:val="BodyText"/>
      </w:pPr>
      <w:r>
        <w:t xml:space="preserve">We proceeded with the same method to sub-sample the data based on the</w:t>
      </w:r>
      <w:r>
        <w:t xml:space="preserve"> </w:t>
      </w:r>
      <w:r>
        <w:t xml:space="preserve">source of the data and found different features best fit different</w:t>
      </w:r>
      <w:r>
        <w:t xml:space="preserve"> </w:t>
      </w:r>
      <w:r>
        <w:t xml:space="preserve">datasets, see</w:t>
      </w:r>
      <w:r>
        <w:t xml:space="preserve"> </w:t>
      </w:r>
      <w:hyperlink w:anchor="fig-myplot9">
        <w:r>
          <w:rPr>
            <w:rStyle w:val="Hyperlink"/>
          </w:rPr>
          <w:t xml:space="preserve">Figure A4</w:t>
        </w:r>
      </w:hyperlink>
      <w:r>
        <w:t xml:space="preserve"> </w:t>
      </w:r>
      <w:r>
        <w:t xml:space="preserve">for AUC and DP. Interestingly the best</w:t>
      </w:r>
      <w:r>
        <w:t xml:space="preserve"> </w:t>
      </w:r>
      <w:r>
        <w:t xml:space="preserve">features by datasets differ between the data sources. While the</w:t>
      </w:r>
      <w:r>
        <w:t xml:space="preserve"> </w:t>
      </w:r>
      <w:r>
        <w:t xml:space="preserve">standardized area indeed lead to the best AUC for the data from Rothen</w:t>
      </w:r>
      <w:r>
        <w:t xml:space="preserve"> </w:t>
      </w:r>
      <w:r>
        <w:t xml:space="preserve">et al.,</w:t>
      </w:r>
      <w:r>
        <w:t xml:space="preserve"> </w:t>
      </w:r>
      <w:r>
        <w:t xml:space="preserve">(</w:t>
      </w:r>
      <w:hyperlink w:anchor="ref-rothen2016">
        <w:r>
          <w:rPr>
            <w:rStyle w:val="Hyperlink"/>
          </w:rPr>
          <w:t xml:space="preserve">2016a</w:t>
        </w:r>
      </w:hyperlink>
      <w:r>
        <w:t xml:space="preserve">)</w:t>
      </w:r>
      <w:r>
        <w:t xml:space="preserve">, the perimeter leads to better AUC in Ward et</w:t>
      </w:r>
      <w:r>
        <w:t xml:space="preserve"> </w:t>
      </w:r>
      <w:r>
        <w:t xml:space="preserve">al.,</w:t>
      </w:r>
      <w:r>
        <w:t xml:space="preserve">(</w:t>
      </w:r>
      <w:hyperlink w:anchor="ref-ward">
        <w:r>
          <w:rPr>
            <w:rStyle w:val="Hyperlink"/>
          </w:rPr>
          <w:t xml:space="preserve">n.d.</w:t>
        </w:r>
      </w:hyperlink>
      <w:r>
        <w:t xml:space="preserve">)</w:t>
      </w:r>
      <w:r>
        <w:t xml:space="preserve">. The permuted validity leads to AUC &gt; 80 across all</w:t>
      </w:r>
      <w:r>
        <w:t xml:space="preserve"> </w:t>
      </w:r>
      <w:r>
        <w:t xml:space="preserve">datasets.</w:t>
      </w:r>
    </w:p>
    <w:p>
      <w:pPr>
        <w:pStyle w:val="BodyText"/>
      </w:pPr>
      <w:r>
        <w:t xml:space="preserve">Another important point addressed in the literature about consistency</w:t>
      </w:r>
      <w:r>
        <w:t xml:space="preserve"> </w:t>
      </w:r>
      <w:r>
        <w:t xml:space="preserve">test is circularity. The circularity is given in that if consistency</w:t>
      </w:r>
      <w:r>
        <w:t xml:space="preserve"> </w:t>
      </w:r>
      <w:r>
        <w:t xml:space="preserve">tests are used to classify SSS and controls, then those groups will by</w:t>
      </w:r>
      <w:r>
        <w:t xml:space="preserve"> </w:t>
      </w:r>
      <w:r>
        <w:t xml:space="preserve">definition differ in consistency</w:t>
      </w:r>
      <w:r>
        <w:t xml:space="preserve"> </w:t>
      </w:r>
      <w:r>
        <w:t xml:space="preserve">(</w:t>
      </w:r>
      <w:hyperlink w:anchor="ref-root2025">
        <w:r>
          <w:rPr>
            <w:rStyle w:val="Hyperlink"/>
          </w:rPr>
          <w:t xml:space="preserve">Root et al., 2025</w:t>
        </w:r>
      </w:hyperlink>
      <w:r>
        <w:t xml:space="preserve">)</w:t>
      </w:r>
      <w:r>
        <w:t xml:space="preserve">. Hence we made a</w:t>
      </w:r>
      <w:r>
        <w:t xml:space="preserve"> </w:t>
      </w:r>
      <w:r>
        <w:t xml:space="preserve">correlation matrix with the questionnaire scores and all the features,</w:t>
      </w:r>
      <w:r>
        <w:t xml:space="preserve"> </w:t>
      </w:r>
      <w:r>
        <w:t xml:space="preserve">see</w:t>
      </w:r>
      <w:r>
        <w:t xml:space="preserve"> </w:t>
      </w:r>
      <w:hyperlink w:anchor="sec-sm2-correlation-with-self-report">
        <w:r>
          <w:rPr>
            <w:rStyle w:val="Hyperlink"/>
          </w:rPr>
          <w:t xml:space="preserve">Section 9.4</w:t>
        </w:r>
      </w:hyperlink>
      <w:r>
        <w:t xml:space="preserve">. The two highest correlations</w:t>
      </w:r>
      <w:r>
        <w:t xml:space="preserve"> </w:t>
      </w:r>
      <w:r>
        <w:t xml:space="preserve">are indeed between the questionnaire score and perimeter (r = .58) and</w:t>
      </w:r>
      <w:r>
        <w:t xml:space="preserve"> </w:t>
      </w:r>
      <w:r>
        <w:t xml:space="preserve">permuted validity (r = .50), see</w:t>
      </w:r>
      <w:r>
        <w:t xml:space="preserve"> </w:t>
      </w:r>
      <w:hyperlink w:anchor="fig-myplot8">
        <w:r>
          <w:rPr>
            <w:rStyle w:val="Hyperlink"/>
          </w:rPr>
          <w:t xml:space="preserve">Figure A6</w:t>
        </w:r>
      </w:hyperlink>
      <w:r>
        <w:t xml:space="preserve">.</w:t>
      </w:r>
    </w:p>
    <w:bookmarkEnd w:id="61"/>
    <w:bookmarkEnd w:id="62"/>
    <w:bookmarkStart w:id="65" w:name="sec-phase-ii-methods"/>
    <w:p>
      <w:pPr>
        <w:pStyle w:val="Heading1"/>
      </w:pPr>
      <w:r>
        <w:rPr>
          <w:i/>
          <w:iCs/>
        </w:rPr>
        <w:t xml:space="preserve">Phase II</w:t>
      </w:r>
      <w:r>
        <w:t xml:space="preserve"> </w:t>
      </w:r>
      <w:r>
        <w:t xml:space="preserve">Methods</w:t>
      </w:r>
    </w:p>
    <w:p>
      <w:pPr>
        <w:pStyle w:val="FirstParagraph"/>
      </w:pPr>
      <w:r>
        <w:t xml:space="preserve">Additional data will be collected in the future using the same</w:t>
      </w:r>
      <w:r>
        <w:t xml:space="preserve"> </w:t>
      </w:r>
      <w:r>
        <w:t xml:space="preserve">consistency test, with the procedural exception that there will be four</w:t>
      </w:r>
      <w:r>
        <w:t xml:space="preserve"> </w:t>
      </w:r>
      <w:r>
        <w:t xml:space="preserve">repetitions per stimuli instead of three. The same feature will be</w:t>
      </w:r>
      <w:r>
        <w:t xml:space="preserve"> </w:t>
      </w:r>
      <w:r>
        <w:t xml:space="preserve">extracted from this dataset. Hence for the stimulus levels feature we</w:t>
      </w:r>
      <w:r>
        <w:t xml:space="preserve"> </w:t>
      </w:r>
      <w:r>
        <w:t xml:space="preserve">will compare the area and perimeter of a rectangle of four coordinates</w:t>
      </w:r>
      <w:r>
        <w:t xml:space="preserve"> </w:t>
      </w:r>
      <w:r>
        <w:t xml:space="preserve">pairs instead of a triangle. Materials are more details on this study</w:t>
      </w:r>
      <w:r>
        <w:t xml:space="preserve"> </w:t>
      </w:r>
      <w:r>
        <w:t xml:space="preserve">are pre-registered on OSF</w:t>
      </w:r>
      <w:r>
        <w:t xml:space="preserve"> </w:t>
      </w:r>
      <w:r>
        <w:t xml:space="preserve">(</w:t>
      </w:r>
      <w:hyperlink r:id="rId63">
        <w:r>
          <w:rPr>
            <w:rStyle w:val="Hyperlink"/>
          </w:rPr>
          <w:t xml:space="preserve">https://osf.io/pjb6e/?view_only=d467ebf4c1f94076ae4ac61298255065</w:t>
        </w:r>
      </w:hyperlink>
      <w:r>
        <w:t xml:space="preserve">).</w:t>
      </w:r>
      <w:r>
        <w:t xml:space="preserve"> </w:t>
      </w:r>
      <w:r>
        <w:t xml:space="preserve">The population (i.e. sample size and recruitment method) are also</w:t>
      </w:r>
      <w:r>
        <w:t xml:space="preserve"> </w:t>
      </w:r>
      <w:r>
        <w:t xml:space="preserve">pre-registered (</w:t>
      </w:r>
      <w:hyperlink r:id="rId64">
        <w:r>
          <w:rPr>
            <w:rStyle w:val="Hyperlink"/>
          </w:rPr>
          <w:t xml:space="preserve">https://osf.io/6h8dx</w:t>
        </w:r>
      </w:hyperlink>
      <w:r>
        <w:rPr>
          <w:b/>
          <w:bCs/>
        </w:rPr>
        <w:t xml:space="preserve">).</w:t>
      </w:r>
    </w:p>
    <w:bookmarkEnd w:id="65"/>
    <w:bookmarkStart w:id="66" w:name="phase-ii-analyses"/>
    <w:p>
      <w:pPr>
        <w:pStyle w:val="Heading1"/>
      </w:pPr>
      <w:r>
        <w:rPr>
          <w:i/>
          <w:iCs/>
        </w:rPr>
        <w:t xml:space="preserve">Phase II Analyses</w:t>
      </w:r>
    </w:p>
    <w:p>
      <w:pPr>
        <w:pStyle w:val="FirstParagraph"/>
      </w:pPr>
      <w:r>
        <w:t xml:space="preserve">We will compute the same ROC analyses as in this pre-registration on all</w:t>
      </w:r>
      <w:r>
        <w:t xml:space="preserve"> </w:t>
      </w:r>
      <w:r>
        <w:t xml:space="preserve">the features. Since we obtain different best AUC per features depending</w:t>
      </w:r>
      <w:r>
        <w:t xml:space="preserve"> </w:t>
      </w:r>
      <w:r>
        <w:t xml:space="preserve">on the dataset, see</w:t>
      </w:r>
      <w:r>
        <w:t xml:space="preserve"> </w:t>
      </w:r>
      <w:hyperlink w:anchor="sec-SM3byds">
        <w:r>
          <w:rPr>
            <w:rStyle w:val="Hyperlink"/>
          </w:rPr>
          <w:t xml:space="preserve">Section 9.3</w:t>
        </w:r>
      </w:hyperlink>
      <w:r>
        <w:t xml:space="preserve">, it is likely that the best features</w:t>
      </w:r>
      <w:r>
        <w:t xml:space="preserve"> </w:t>
      </w:r>
      <w:r>
        <w:t xml:space="preserve">here will not match with the best feature in the to be collected</w:t>
      </w:r>
      <w:r>
        <w:t xml:space="preserve"> </w:t>
      </w:r>
      <w:r>
        <w:t xml:space="preserve">dataset.</w:t>
      </w:r>
    </w:p>
    <w:bookmarkEnd w:id="66"/>
    <w:bookmarkStart w:id="70" w:name="phase-i.-discussion"/>
    <w:p>
      <w:pPr>
        <w:pStyle w:val="Heading1"/>
      </w:pPr>
      <w:r>
        <w:rPr>
          <w:i/>
          <w:iCs/>
        </w:rPr>
        <w:t xml:space="preserve">Phase I.</w:t>
      </w:r>
      <w:r>
        <w:t xml:space="preserve"> </w:t>
      </w:r>
      <w:r>
        <w:t xml:space="preserve">Discussion</w:t>
      </w:r>
    </w:p>
    <w:p>
      <w:pPr>
        <w:pStyle w:val="FirstParagraph"/>
      </w:pPr>
      <w:r>
        <w:t xml:space="preserve">Our investigation of four datasets found two main features leading to</w:t>
      </w:r>
      <w:r>
        <w:t xml:space="preserve"> </w:t>
      </w:r>
      <w:r>
        <w:t xml:space="preserve">the optimal classification of SSS from control: standardized perimeter</w:t>
      </w:r>
      <w:r>
        <w:t xml:space="preserve"> </w:t>
      </w:r>
      <w:r>
        <w:t xml:space="preserve">between repetitions and permuted topological validity. While perimeter</w:t>
      </w:r>
      <w:r>
        <w:t xml:space="preserve"> </w:t>
      </w:r>
      <w:r>
        <w:t xml:space="preserve">is calculated on the stimulus level, i.e. distance between repeated</w:t>
      </w:r>
      <w:r>
        <w:t xml:space="preserve"> </w:t>
      </w:r>
      <w:r>
        <w:t xml:space="preserve">stimuli, topological validity is calculated on the whole spatial-form</w:t>
      </w:r>
      <w:r>
        <w:t xml:space="preserve"> </w:t>
      </w:r>
      <w:r>
        <w:t xml:space="preserve">level, e.g. x,y coordinates formed by Monday to Sunday. Both criteria</w:t>
      </w:r>
      <w:r>
        <w:t xml:space="preserve"> </w:t>
      </w:r>
      <w:r>
        <w:t xml:space="preserve">display bimodal distributions across the groups (see</w:t>
      </w:r>
      <w:r>
        <w:t xml:space="preserve"> </w:t>
      </w:r>
      <w:hyperlink w:anchor="fig-myplot3">
        <w:r>
          <w:rPr>
            <w:rStyle w:val="Hyperlink"/>
          </w:rPr>
          <w:t xml:space="preserve">Figure A1</w:t>
        </w:r>
      </w:hyperlink>
      <w:r>
        <w:t xml:space="preserve"> </w:t>
      </w:r>
      <w:hyperlink w:anchor="tbl-mytb05">
        <w:r>
          <w:rPr>
            <w:rStyle w:val="Hyperlink"/>
          </w:rPr>
          <w:t xml:space="preserve">Table A1</w:t>
        </w:r>
      </w:hyperlink>
      <w:r>
        <w:t xml:space="preserve">). We also obtain variable best features by datasets, in</w:t>
      </w:r>
      <w:r>
        <w:t xml:space="preserve"> </w:t>
      </w:r>
      <w:r>
        <w:t xml:space="preserve">particular from the stimulus based metrics (area and perimeter), while</w:t>
      </w:r>
      <w:r>
        <w:t xml:space="preserve"> </w:t>
      </w:r>
      <w:r>
        <w:t xml:space="preserve">topological validity lead to &gt; 80 AUC across datasets. Considering only</w:t>
      </w:r>
      <w:r>
        <w:t xml:space="preserve"> </w:t>
      </w:r>
      <w:r>
        <w:t xml:space="preserve">the data by Pr. Ward that contains questionnaire data, we obtain similar</w:t>
      </w:r>
      <w:r>
        <w:t xml:space="preserve"> </w:t>
      </w:r>
      <w:r>
        <w:t xml:space="preserve">AUC and DP for more extreme Synaesthete and Control groups when</w:t>
      </w:r>
      <w:r>
        <w:t xml:space="preserve"> </w:t>
      </w:r>
      <w:r>
        <w:t xml:space="preserve">sub-sampled by questionnaire’s score distribution percentiles (see</w:t>
      </w:r>
      <w:r>
        <w:t xml:space="preserve"> </w:t>
      </w:r>
      <w:hyperlink w:anchor="fig-myplot5">
        <w:r>
          <w:rPr>
            <w:rStyle w:val="Hyperlink"/>
          </w:rPr>
          <w:t xml:space="preserve">Figure A2</w:t>
        </w:r>
      </w:hyperlink>
      <w:r>
        <w:t xml:space="preserve">). However, perimeter lead to slightly higher correlation</w:t>
      </w:r>
      <w:r>
        <w:t xml:space="preserve"> </w:t>
      </w:r>
      <w:r>
        <w:t xml:space="preserve">with the questionnaire (r = .58) than permuted topological validity (r =</w:t>
      </w:r>
      <w:r>
        <w:t xml:space="preserve"> </w:t>
      </w:r>
      <w:r>
        <w:t xml:space="preserve">.50).</w:t>
      </w:r>
    </w:p>
    <w:bookmarkStart w:id="67" w:name="sec-limitations"/>
    <w:p>
      <w:pPr>
        <w:pStyle w:val="Heading2"/>
      </w:pPr>
      <w:r>
        <w:t xml:space="preserve">Limitations</w:t>
      </w:r>
    </w:p>
    <w:p>
      <w:pPr>
        <w:pStyle w:val="FirstParagraph"/>
      </w:pPr>
      <w:r>
        <w:t xml:space="preserve">Although an optimal test to classify SSS might be particularly relevant</w:t>
      </w:r>
      <w:r>
        <w:t xml:space="preserve"> </w:t>
      </w:r>
      <w:r>
        <w:t xml:space="preserve">for experimental purposes, several important limitations need to be</w:t>
      </w:r>
      <w:r>
        <w:t xml:space="preserve"> </w:t>
      </w:r>
      <w:r>
        <w:t xml:space="preserve">considered. First, consistency tests contain only a limited set of</w:t>
      </w:r>
      <w:r>
        <w:t xml:space="preserve"> </w:t>
      </w:r>
      <w:r>
        <w:t xml:space="preserve">sequential stimuli (i.e. months, weeks and the first ten natural</w:t>
      </w:r>
      <w:r>
        <w:t xml:space="preserve"> </w:t>
      </w:r>
      <w:r>
        <w:t xml:space="preserve">numbers) that could potentially elicit synaesthetic experiences. Other</w:t>
      </w:r>
      <w:r>
        <w:t xml:space="preserve"> </w:t>
      </w:r>
      <w:r>
        <w:t xml:space="preserve">ordinal categories such as temperature, clock time, musical keys might</w:t>
      </w:r>
      <w:r>
        <w:t xml:space="preserve"> </w:t>
      </w:r>
      <w:r>
        <w:t xml:space="preserve">be more relevant for some individuals with SSS. For numbers</w:t>
      </w:r>
      <w:r>
        <w:t xml:space="preserve"> </w:t>
      </w:r>
      <w:r>
        <w:t xml:space="preserve">specifically, better consistency tests might be obtained using a larger</w:t>
      </w:r>
      <w:r>
        <w:t xml:space="preserve"> </w:t>
      </w:r>
      <w:r>
        <w:t xml:space="preserve">set size (i.e. including decades and hundreds), as descriptively</w:t>
      </w:r>
      <w:r>
        <w:t xml:space="preserve"> </w:t>
      </w:r>
      <w:r>
        <w:t xml:space="preserve">interesting form changes occur at different decimals in base-10 number</w:t>
      </w:r>
      <w:r>
        <w:t xml:space="preserve"> </w:t>
      </w:r>
      <w:r>
        <w:t xml:space="preserve">systems</w:t>
      </w:r>
      <w:r>
        <w:t xml:space="preserve"> </w:t>
      </w:r>
      <w:r>
        <w:t xml:space="preserve">(</w:t>
      </w:r>
      <w:hyperlink w:anchor="ref-galton1880">
        <w:r>
          <w:rPr>
            <w:rStyle w:val="Hyperlink"/>
          </w:rPr>
          <w:t xml:space="preserve">Galton, 1880</w:t>
        </w:r>
      </w:hyperlink>
      <w:r>
        <w:t xml:space="preserve">)</w:t>
      </w:r>
      <w:r>
        <w:t xml:space="preserve">.</w:t>
      </w:r>
    </w:p>
    <w:p>
      <w:pPr>
        <w:pStyle w:val="BodyText"/>
      </w:pPr>
      <w:r>
        <w:t xml:space="preserve">Second, the use of diagnostic cutoffs assumes categorical distinctions</w:t>
      </w:r>
      <w:r>
        <w:t xml:space="preserve"> </w:t>
      </w:r>
      <w:r>
        <w:t xml:space="preserve">between groups, but SSS may exist on a continuum and scores might be</w:t>
      </w:r>
      <w:r>
        <w:t xml:space="preserve"> </w:t>
      </w:r>
      <w:r>
        <w:t xml:space="preserve">more suitable</w:t>
      </w:r>
      <w:r>
        <w:t xml:space="preserve"> </w:t>
      </w:r>
      <w:r>
        <w:t xml:space="preserve">(</w:t>
      </w:r>
      <w:hyperlink w:anchor="ref-price2013">
        <w:r>
          <w:rPr>
            <w:rStyle w:val="Hyperlink"/>
          </w:rPr>
          <w:t xml:space="preserve">Price &amp; Pearson, 2013</w:t>
        </w:r>
      </w:hyperlink>
      <w:r>
        <w:t xml:space="preserve">)</w:t>
      </w:r>
      <w:r>
        <w:t xml:space="preserve">. This limitation is related to the</w:t>
      </w:r>
      <w:r>
        <w:t xml:space="preserve"> </w:t>
      </w:r>
      <w:r>
        <w:t xml:space="preserve">circularity mentioned previously: diagnostic cutoffs as calculated here</w:t>
      </w:r>
      <w:r>
        <w:t xml:space="preserve"> </w:t>
      </w:r>
      <w:r>
        <w:t xml:space="preserve">depend on how SSS and controls are classified in the first place</w:t>
      </w:r>
      <w:r>
        <w:t xml:space="preserve"> </w:t>
      </w:r>
      <w:r>
        <w:t xml:space="preserve">(</w:t>
      </w:r>
      <w:hyperlink w:anchor="ref-simner2012">
        <w:r>
          <w:rPr>
            <w:rStyle w:val="Hyperlink"/>
          </w:rPr>
          <w:t xml:space="preserve">Simner, 2012</w:t>
        </w:r>
      </w:hyperlink>
      <w:r>
        <w:t xml:space="preserve">)</w:t>
      </w:r>
      <w:r>
        <w:t xml:space="preserve">. Measures of other characteristics of synaesthesia such as</w:t>
      </w:r>
      <w:r>
        <w:t xml:space="preserve"> </w:t>
      </w:r>
      <w:r>
        <w:t xml:space="preserve">automaticity or visual Gabor detection might be necessary to establish</w:t>
      </w:r>
      <w:r>
        <w:t xml:space="preserve"> </w:t>
      </w:r>
      <w:r>
        <w:t xml:space="preserve">external validity</w:t>
      </w:r>
      <w:r>
        <w:t xml:space="preserve"> </w:t>
      </w:r>
      <w:r>
        <w:t xml:space="preserve">(</w:t>
      </w:r>
      <w:hyperlink w:anchor="ref-ward2018">
        <w:r>
          <w:rPr>
            <w:rStyle w:val="Hyperlink"/>
          </w:rPr>
          <w:t xml:space="preserve">Ward et al., 2018</w:t>
        </w:r>
      </w:hyperlink>
      <w:r>
        <w:t xml:space="preserve">)</w:t>
      </w:r>
      <w:r>
        <w:t xml:space="preserve">. Indeed, determining the prevalence of SSS</w:t>
      </w:r>
      <w:r>
        <w:t xml:space="preserve"> </w:t>
      </w:r>
      <w:r>
        <w:t xml:space="preserve">in the general population requires definitional choices that might be</w:t>
      </w:r>
      <w:r>
        <w:t xml:space="preserve"> </w:t>
      </w:r>
      <w:r>
        <w:t xml:space="preserve">base on more conservative or lenient criteria</w:t>
      </w:r>
      <w:r>
        <w:t xml:space="preserve"> </w:t>
      </w:r>
      <w:r>
        <w:t xml:space="preserve">(</w:t>
      </w:r>
      <w:hyperlink w:anchor="ref-brang2010">
        <w:r>
          <w:rPr>
            <w:rStyle w:val="Hyperlink"/>
          </w:rPr>
          <w:t xml:space="preserve">Brang et al., 2010</w:t>
        </w:r>
      </w:hyperlink>
      <w:r>
        <w:t xml:space="preserve">;</w:t>
      </w:r>
      <w:r>
        <w:t xml:space="preserve"> </w:t>
      </w:r>
      <w:hyperlink w:anchor="ref-jonas2014">
        <w:r>
          <w:rPr>
            <w:rStyle w:val="Hyperlink"/>
          </w:rPr>
          <w:t xml:space="preserve">Jonas &amp; Price, 2014</w:t>
        </w:r>
      </w:hyperlink>
      <w:r>
        <w:t xml:space="preserve">;</w:t>
      </w:r>
      <w:r>
        <w:t xml:space="preserve"> </w:t>
      </w:r>
      <w:hyperlink w:anchor="ref-sagiv2006">
        <w:r>
          <w:rPr>
            <w:rStyle w:val="Hyperlink"/>
          </w:rPr>
          <w:t xml:space="preserve">Sagiv et al., 2006</w:t>
        </w:r>
      </w:hyperlink>
      <w:r>
        <w:t xml:space="preserve">;</w:t>
      </w:r>
      <w:r>
        <w:t xml:space="preserve"> </w:t>
      </w:r>
      <w:hyperlink w:anchor="ref-ward2018">
        <w:r>
          <w:rPr>
            <w:rStyle w:val="Hyperlink"/>
          </w:rPr>
          <w:t xml:space="preserve">Ward et al., 2018</w:t>
        </w:r>
      </w:hyperlink>
      <w:r>
        <w:t xml:space="preserve">)</w:t>
      </w:r>
      <w:r>
        <w:t xml:space="preserve">. These difficulties are reflected in the span of</w:t>
      </w:r>
      <w:r>
        <w:t xml:space="preserve"> </w:t>
      </w:r>
      <w:r>
        <w:t xml:space="preserve">current prevalence estimates: 4.4 %</w:t>
      </w:r>
      <w:r>
        <w:t xml:space="preserve"> </w:t>
      </w:r>
      <w:r>
        <w:t xml:space="preserve">(</w:t>
      </w:r>
      <w:hyperlink w:anchor="ref-brang2013">
        <w:r>
          <w:rPr>
            <w:rStyle w:val="Hyperlink"/>
          </w:rPr>
          <w:t xml:space="preserve">Brang et al., 2013</w:t>
        </w:r>
      </w:hyperlink>
      <w:r>
        <w:t xml:space="preserve">)</w:t>
      </w:r>
      <w:r>
        <w:t xml:space="preserve">, 8.1 %</w:t>
      </w:r>
      <w:r>
        <w:t xml:space="preserve"> </w:t>
      </w:r>
      <w:r>
        <w:t xml:space="preserve">(</w:t>
      </w:r>
      <w:hyperlink w:anchor="ref-ward2018">
        <w:r>
          <w:rPr>
            <w:rStyle w:val="Hyperlink"/>
          </w:rPr>
          <w:t xml:space="preserve">Ward et al., 2018</w:t>
        </w:r>
      </w:hyperlink>
      <w:r>
        <w:t xml:space="preserve">)</w:t>
      </w:r>
      <w:r>
        <w:t xml:space="preserve"> </w:t>
      </w:r>
      <w:r>
        <w:t xml:space="preserve">and</w:t>
      </w:r>
      <w:r>
        <w:t xml:space="preserve"> </w:t>
      </w:r>
      <w:r>
        <w:t xml:space="preserve">14 %</w:t>
      </w:r>
      <w:r>
        <w:t xml:space="preserve"> </w:t>
      </w:r>
      <w:r>
        <w:t xml:space="preserve">(</w:t>
      </w:r>
      <w:hyperlink w:anchor="ref-seron1992">
        <w:r>
          <w:rPr>
            <w:rStyle w:val="Hyperlink"/>
          </w:rPr>
          <w:t xml:space="preserve">Seron et al., 1992</w:t>
        </w:r>
      </w:hyperlink>
      <w:r>
        <w:t xml:space="preserve">)</w:t>
      </w:r>
      <w:r>
        <w:t xml:space="preserve">.</w:t>
      </w:r>
    </w:p>
    <w:p>
      <w:pPr>
        <w:pStyle w:val="BodyText"/>
      </w:pPr>
      <w:r>
        <w:t xml:space="preserve">Third, as shown in</w:t>
      </w:r>
      <w:r>
        <w:t xml:space="preserve"> </w:t>
      </w:r>
      <w:hyperlink w:anchor="sec-SM3byds">
        <w:r>
          <w:rPr>
            <w:rStyle w:val="Hyperlink"/>
          </w:rPr>
          <w:t xml:space="preserve">Section 9.3</w:t>
        </w:r>
      </w:hyperlink>
      <w:r>
        <w:t xml:space="preserve">, we find that the optimal criteria can</w:t>
      </w:r>
      <w:r>
        <w:t xml:space="preserve"> </w:t>
      </w:r>
      <w:r>
        <w:t xml:space="preserve">vary across datasets. In other word, we obtain different AUC depending</w:t>
      </w:r>
      <w:r>
        <w:t xml:space="preserve"> </w:t>
      </w:r>
      <w:r>
        <w:t xml:space="preserve">on the datasets. These differences might be explained tbydifferent</w:t>
      </w:r>
      <w:r>
        <w:t xml:space="preserve"> </w:t>
      </w:r>
      <w:r>
        <w:t xml:space="preserve">sampling mehtods biases, for example</w:t>
      </w:r>
      <w:r>
        <w:t xml:space="preserve"> </w:t>
      </w:r>
      <w:r>
        <w:t xml:space="preserve">(</w:t>
      </w:r>
      <w:hyperlink w:anchor="ref-vanpetersen2020">
        <w:r>
          <w:rPr>
            <w:rStyle w:val="Hyperlink"/>
          </w:rPr>
          <w:t xml:space="preserve">Van Petersen et al., 2020b</w:t>
        </w:r>
      </w:hyperlink>
      <w:r>
        <w:t xml:space="preserve">)</w:t>
      </w:r>
      <w:r>
        <w:t xml:space="preserve"> </w:t>
      </w:r>
      <w:r>
        <w:t xml:space="preserve">recruited SSS</w:t>
      </w:r>
      <w:r>
        <w:t xml:space="preserve"> </w:t>
      </w:r>
      <w:r>
        <w:t xml:space="preserve">from over one hundred candidates to maximise participant reporting</w:t>
      </w:r>
      <w:r>
        <w:t xml:space="preserve"> </w:t>
      </w:r>
      <w:r>
        <w:t xml:space="preserve">synesthetic experiences. Additionally, the orginal classification into</w:t>
      </w:r>
      <w:r>
        <w:t xml:space="preserve"> </w:t>
      </w:r>
      <w:r>
        <w:t xml:space="preserve">control and SSS are not consistent across studies and it might be useful</w:t>
      </w:r>
      <w:r>
        <w:t xml:space="preserve"> </w:t>
      </w:r>
      <w:r>
        <w:t xml:space="preserve">to have several validation measures as pointed out in the limitation</w:t>
      </w:r>
      <w:r>
        <w:t xml:space="preserve"> </w:t>
      </w:r>
      <w:r>
        <w:t xml:space="preserve">(see</w:t>
      </w:r>
      <w:r>
        <w:t xml:space="preserve"> </w:t>
      </w:r>
      <w:hyperlink w:anchor="ref-ward2018">
        <w:r>
          <w:rPr>
            <w:rStyle w:val="Hyperlink"/>
          </w:rPr>
          <w:t xml:space="preserve">Ward et al., 2018</w:t>
        </w:r>
      </w:hyperlink>
      <w:r>
        <w:t xml:space="preserve">)</w:t>
      </w:r>
      <w:r>
        <w:t xml:space="preserve">.</w:t>
      </w:r>
    </w:p>
    <w:p>
      <w:pPr>
        <w:pStyle w:val="BodyText"/>
      </w:pPr>
      <w:r>
        <w:t xml:space="preserve">Another possible explanation may be methodological and related to the</w:t>
      </w:r>
      <w:r>
        <w:t xml:space="preserve"> </w:t>
      </w:r>
      <w:r>
        <w:t xml:space="preserve">option to skip responses in the task, leaving empty cases for some</w:t>
      </w:r>
      <w:r>
        <w:t xml:space="preserve"> </w:t>
      </w:r>
      <w:r>
        <w:t xml:space="preserve">participants. Indeed, having fewer responses (i.e., fewer coordinates)</w:t>
      </w:r>
      <w:r>
        <w:t xml:space="preserve"> </w:t>
      </w:r>
      <w:r>
        <w:t xml:space="preserve">increases the likelihood of producing a valid spatial form also in</w:t>
      </w:r>
      <w:r>
        <w:t xml:space="preserve"> </w:t>
      </w:r>
      <w:r>
        <w:t xml:space="preserve">controls. Conversely, perimeter and area are differentially affected by</w:t>
      </w:r>
      <w:r>
        <w:t xml:space="preserve"> </w:t>
      </w:r>
      <w:r>
        <w:t xml:space="preserve">missing responses.</w:t>
      </w:r>
    </w:p>
    <w:bookmarkEnd w:id="67"/>
    <w:bookmarkStart w:id="68" w:name="topological-validity"/>
    <w:p>
      <w:pPr>
        <w:pStyle w:val="Heading2"/>
      </w:pPr>
      <w:r>
        <w:t xml:space="preserve">Topological validity</w:t>
      </w:r>
    </w:p>
    <w:p>
      <w:pPr>
        <w:pStyle w:val="FirstParagraph"/>
      </w:pPr>
      <w:r>
        <w:t xml:space="preserve">Surprisingly, permuted topological validity of the spatial-forms led to</w:t>
      </w:r>
      <w:r>
        <w:t xml:space="preserve"> </w:t>
      </w:r>
      <w:r>
        <w:t xml:space="preserve">similar results than the perimeter (or the distance) between the</w:t>
      </w:r>
      <w:r>
        <w:t xml:space="preserve"> </w:t>
      </w:r>
      <w:r>
        <w:t xml:space="preserve">responses. This result might be informative about how SSS map ordinal</w:t>
      </w:r>
      <w:r>
        <w:t xml:space="preserve"> </w:t>
      </w:r>
      <w:r>
        <w:t xml:space="preserve">stimuli in space. Indeed, it seems the patterns of spatial-forms follow</w:t>
      </w:r>
      <w:r>
        <w:t xml:space="preserve"> </w:t>
      </w:r>
      <w:r>
        <w:t xml:space="preserve">topological rules analogous to geographical ang geometry-based space</w:t>
      </w:r>
      <w:r>
        <w:t xml:space="preserve"> </w:t>
      </w:r>
      <w:r>
        <w:t xml:space="preserve">structures. Analogies between maps and neuroscience have a long history</w:t>
      </w:r>
      <w:r>
        <w:t xml:space="preserve"> </w:t>
      </w:r>
      <w:r>
        <w:t xml:space="preserve">(i.e. retinotopy, sonotopy or somatotopy)</w:t>
      </w:r>
      <w:r>
        <w:t xml:space="preserve"> </w:t>
      </w:r>
      <w:r>
        <w:t xml:space="preserve">(</w:t>
      </w:r>
      <w:hyperlink w:anchor="ref-eagleman2009">
        <w:r>
          <w:rPr>
            <w:rStyle w:val="Hyperlink"/>
          </w:rPr>
          <w:t xml:space="preserve">Eagleman &amp; Goodale, 2009</w:t>
        </w:r>
      </w:hyperlink>
      <w:r>
        <w:t xml:space="preserve">)</w:t>
      </w:r>
      <w:r>
        <w:t xml:space="preserve">. Therefore</w:t>
      </w:r>
      <w:r>
        <w:t xml:space="preserve"> </w:t>
      </w:r>
      <w:r>
        <w:t xml:space="preserve">spatial-forms might originate from the mapping between ordinal or</w:t>
      </w:r>
      <w:r>
        <w:t xml:space="preserve"> </w:t>
      </w:r>
      <w:r>
        <w:t xml:space="preserve">sequential stimuli on idiosyncratic visuo-spatial abilities following</w:t>
      </w:r>
      <w:r>
        <w:t xml:space="preserve"> </w:t>
      </w:r>
      <w:r>
        <w:t xml:space="preserve">topological rules. One of the advantages of using topological validity</w:t>
      </w:r>
      <w:r>
        <w:t xml:space="preserve"> </w:t>
      </w:r>
      <w:r>
        <w:t xml:space="preserve">is that it also classifies responses with the same coordinates as</w:t>
      </w:r>
      <w:r>
        <w:t xml:space="preserve"> </w:t>
      </w:r>
      <w:r>
        <w:t xml:space="preserve">invalid and hence inconsistent, while using the area and perimeter</w:t>
      </w:r>
      <w:r>
        <w:t xml:space="preserve"> </w:t>
      </w:r>
      <w:r>
        <w:t xml:space="preserve">metrics they would qualify as highly consistent responses.</w:t>
      </w:r>
    </w:p>
    <w:bookmarkEnd w:id="68"/>
    <w:bookmarkStart w:id="69" w:name="sec-conclusions"/>
    <w:p>
      <w:pPr>
        <w:pStyle w:val="Heading2"/>
      </w:pPr>
      <w:r>
        <w:t xml:space="preserve">Intermediary Conclusion</w:t>
      </w:r>
    </w:p>
    <w:p>
      <w:pPr>
        <w:pStyle w:val="FirstParagraph"/>
      </w:pPr>
      <w:r>
        <w:rPr>
          <w:i/>
          <w:iCs/>
        </w:rPr>
        <w:t xml:space="preserve">Phase I</w:t>
      </w:r>
      <w:r>
        <w:t xml:space="preserve"> </w:t>
      </w:r>
      <w:r>
        <w:t xml:space="preserve">compared traditional stimulus-level consistency measures with</w:t>
      </w:r>
      <w:r>
        <w:t xml:space="preserve"> </w:t>
      </w:r>
      <w:r>
        <w:t xml:space="preserve">novel form-level geometric features for detecting SSS. We found optimal</w:t>
      </w:r>
      <w:r>
        <w:t xml:space="preserve"> </w:t>
      </w:r>
      <w:r>
        <w:t xml:space="preserve">classification performance from permuted topological validity and</w:t>
      </w:r>
      <w:r>
        <w:t xml:space="preserve"> </w:t>
      </w:r>
      <w:r>
        <w:t xml:space="preserve">standardized perimeter between repetitions. The success of topological</w:t>
      </w:r>
      <w:r>
        <w:t xml:space="preserve"> </w:t>
      </w:r>
      <w:r>
        <w:t xml:space="preserve">validity as a diagnostic feature is theoretically meaningful: genuine</w:t>
      </w:r>
      <w:r>
        <w:t xml:space="preserve"> </w:t>
      </w:r>
      <w:r>
        <w:t xml:space="preserve">synesthetes should produce spatially coherent, well-formed structures</w:t>
      </w:r>
      <w:r>
        <w:t xml:space="preserve"> </w:t>
      </w:r>
      <w:r>
        <w:t xml:space="preserve">that satisfy geometric constraints compared to controls. Similarly, the</w:t>
      </w:r>
      <w:r>
        <w:t xml:space="preserve"> </w:t>
      </w:r>
      <w:r>
        <w:t xml:space="preserve">perimeter feature captures the stability of the overall spatial</w:t>
      </w:r>
      <w:r>
        <w:t xml:space="preserve"> </w:t>
      </w:r>
      <w:r>
        <w:t xml:space="preserve">configuration across repetitions, which should remain consistent for</w:t>
      </w:r>
      <w:r>
        <w:t xml:space="preserve"> </w:t>
      </w:r>
      <w:r>
        <w:t xml:space="preserve">true SSS individuals regardless of presentation order.</w:t>
      </w:r>
    </w:p>
    <w:p>
      <w:pPr>
        <w:pStyle w:val="BodyText"/>
      </w:pPr>
      <w:r>
        <w:t xml:space="preserve">In</w:t>
      </w:r>
      <w:r>
        <w:t xml:space="preserve"> </w:t>
      </w:r>
      <w:r>
        <w:rPr>
          <w:i/>
          <w:iCs/>
        </w:rPr>
        <w:t xml:space="preserve">phase II,</w:t>
      </w:r>
      <w:r>
        <w:t xml:space="preserve"> </w:t>
      </w:r>
      <w:r>
        <w:t xml:space="preserve">we will attempt at validating the criteria on a yet-to be</w:t>
      </w:r>
      <w:r>
        <w:t xml:space="preserve"> </w:t>
      </w:r>
      <w:r>
        <w:t xml:space="preserve">acquired dataset.</w:t>
      </w:r>
    </w:p>
    <w:bookmarkEnd w:id="69"/>
    <w:bookmarkEnd w:id="70"/>
    <w:bookmarkStart w:id="147" w:name="references"/>
    <w:p>
      <w:pPr>
        <w:pStyle w:val="Heading1"/>
      </w:pPr>
      <w:r>
        <w:t xml:space="preserve">References</w:t>
      </w:r>
    </w:p>
    <w:bookmarkStart w:id="133" w:name="refs"/>
    <w:bookmarkStart w:id="72" w:name="ref-baron-cohen1993"/>
    <w:p>
      <w:pPr>
        <w:pStyle w:val="Bibliography"/>
      </w:pPr>
      <w:r>
        <w:t xml:space="preserve">Baron-Cohen, S., Harrison, J., Goldstein, L. H., &amp; Wyke, M. (1993). Coloured Speech Perception: Is Synaesthesia what Happens when Modularity Breaks Down?</w:t>
      </w:r>
      <w:r>
        <w:t xml:space="preserve"> </w:t>
      </w:r>
      <w:r>
        <w:rPr>
          <w:i/>
          <w:iCs/>
        </w:rPr>
        <w:t xml:space="preserve">Perception</w:t>
      </w:r>
      <w:r>
        <w:t xml:space="preserve">,</w:t>
      </w:r>
      <w:r>
        <w:t xml:space="preserve"> </w:t>
      </w:r>
      <w:r>
        <w:rPr>
          <w:i/>
          <w:iCs/>
        </w:rPr>
        <w:t xml:space="preserve">22</w:t>
      </w:r>
      <w:r>
        <w:t xml:space="preserve">(4), 419–426.</w:t>
      </w:r>
      <w:r>
        <w:t xml:space="preserve"> </w:t>
      </w:r>
      <w:hyperlink r:id="rId71">
        <w:r>
          <w:rPr>
            <w:rStyle w:val="Hyperlink"/>
          </w:rPr>
          <w:t xml:space="preserve">https://doi.org/10.1068/p220419</w:t>
        </w:r>
      </w:hyperlink>
    </w:p>
    <w:bookmarkEnd w:id="72"/>
    <w:bookmarkStart w:id="74" w:name="ref-brang2013"/>
    <w:p>
      <w:pPr>
        <w:pStyle w:val="Bibliography"/>
      </w:pPr>
      <w:r>
        <w:t xml:space="preserve">Brang, D., Miller, L. E., McQuire, M., Ramachandran, V. S., &amp; Coulson, S. (2013). Enhanced mental rotation ability in time-space synesthesia.</w:t>
      </w:r>
      <w:r>
        <w:t xml:space="preserve"> </w:t>
      </w:r>
      <w:r>
        <w:rPr>
          <w:i/>
          <w:iCs/>
        </w:rPr>
        <w:t xml:space="preserve">Cognitive Processing</w:t>
      </w:r>
      <w:r>
        <w:t xml:space="preserve">,</w:t>
      </w:r>
      <w:r>
        <w:t xml:space="preserve"> </w:t>
      </w:r>
      <w:r>
        <w:rPr>
          <w:i/>
          <w:iCs/>
        </w:rPr>
        <w:t xml:space="preserve">14</w:t>
      </w:r>
      <w:r>
        <w:t xml:space="preserve">(4), 429–434.</w:t>
      </w:r>
      <w:r>
        <w:t xml:space="preserve"> </w:t>
      </w:r>
      <w:hyperlink r:id="rId73">
        <w:r>
          <w:rPr>
            <w:rStyle w:val="Hyperlink"/>
          </w:rPr>
          <w:t xml:space="preserve">https://doi.org/10.1007/s10339-013-0561-5</w:t>
        </w:r>
      </w:hyperlink>
    </w:p>
    <w:bookmarkEnd w:id="74"/>
    <w:bookmarkStart w:id="76" w:name="ref-brang2010"/>
    <w:p>
      <w:pPr>
        <w:pStyle w:val="Bibliography"/>
      </w:pPr>
      <w:r>
        <w:t xml:space="preserve">Brang, D., Teuscher, U., Ramachandran, V. S., &amp; Coulson, S. (2010). Temporal sequences, synesthetic mappings, and cultural biases: The geography of time.</w:t>
      </w:r>
      <w:r>
        <w:t xml:space="preserve"> </w:t>
      </w:r>
      <w:r>
        <w:rPr>
          <w:i/>
          <w:iCs/>
        </w:rPr>
        <w:t xml:space="preserve">Consciousness and Cognition</w:t>
      </w:r>
      <w:r>
        <w:t xml:space="preserve">,</w:t>
      </w:r>
      <w:r>
        <w:t xml:space="preserve"> </w:t>
      </w:r>
      <w:r>
        <w:rPr>
          <w:i/>
          <w:iCs/>
        </w:rPr>
        <w:t xml:space="preserve">19</w:t>
      </w:r>
      <w:r>
        <w:t xml:space="preserve">(1), 311–320.</w:t>
      </w:r>
      <w:r>
        <w:t xml:space="preserve"> </w:t>
      </w:r>
      <w:hyperlink r:id="rId75">
        <w:r>
          <w:rPr>
            <w:rStyle w:val="Hyperlink"/>
          </w:rPr>
          <w:t xml:space="preserve">https://doi.org/10.1016/j.concog.2010.01.003</w:t>
        </w:r>
      </w:hyperlink>
    </w:p>
    <w:bookmarkEnd w:id="76"/>
    <w:bookmarkStart w:id="78" w:name="ref-deroy2013"/>
    <w:p>
      <w:pPr>
        <w:pStyle w:val="Bibliography"/>
      </w:pPr>
      <w:r>
        <w:t xml:space="preserve">Deroy, O., &amp; Spence, C. (2013). Why we are not all synesthetes (not even weakly so).</w:t>
      </w:r>
      <w:r>
        <w:t xml:space="preserve"> </w:t>
      </w:r>
      <w:r>
        <w:rPr>
          <w:i/>
          <w:iCs/>
        </w:rPr>
        <w:t xml:space="preserve">Psychonomic Bulletin &amp; Review</w:t>
      </w:r>
      <w:r>
        <w:t xml:space="preserve">,</w:t>
      </w:r>
      <w:r>
        <w:t xml:space="preserve"> </w:t>
      </w:r>
      <w:r>
        <w:rPr>
          <w:i/>
          <w:iCs/>
        </w:rPr>
        <w:t xml:space="preserve">20</w:t>
      </w:r>
      <w:r>
        <w:t xml:space="preserve">(4), 643–664.</w:t>
      </w:r>
      <w:r>
        <w:t xml:space="preserve"> </w:t>
      </w:r>
      <w:hyperlink r:id="rId77">
        <w:r>
          <w:rPr>
            <w:rStyle w:val="Hyperlink"/>
          </w:rPr>
          <w:t xml:space="preserve">https://doi.org/10.3758/s13423-013-0387-2</w:t>
        </w:r>
      </w:hyperlink>
    </w:p>
    <w:bookmarkEnd w:id="78"/>
    <w:bookmarkStart w:id="80" w:name="ref-dixon2004"/>
    <w:p>
      <w:pPr>
        <w:pStyle w:val="Bibliography"/>
      </w:pPr>
      <w:r>
        <w:t xml:space="preserve">Dixon, M. J., Smilek, D., &amp; Merikle, P. M. (2004). Not all synaesthetes are created equal: Projector versus associator synaesthetes.</w:t>
      </w:r>
      <w:r>
        <w:t xml:space="preserve"> </w:t>
      </w:r>
      <w:r>
        <w:rPr>
          <w:i/>
          <w:iCs/>
        </w:rPr>
        <w:t xml:space="preserve">Cognitive, Affective, &amp; Behavioral Neuroscience</w:t>
      </w:r>
      <w:r>
        <w:t xml:space="preserve">,</w:t>
      </w:r>
      <w:r>
        <w:t xml:space="preserve"> </w:t>
      </w:r>
      <w:r>
        <w:rPr>
          <w:i/>
          <w:iCs/>
        </w:rPr>
        <w:t xml:space="preserve">4</w:t>
      </w:r>
      <w:r>
        <w:t xml:space="preserve">(3), 335–343.</w:t>
      </w:r>
      <w:r>
        <w:t xml:space="preserve"> </w:t>
      </w:r>
      <w:hyperlink r:id="rId79">
        <w:r>
          <w:rPr>
            <w:rStyle w:val="Hyperlink"/>
          </w:rPr>
          <w:t xml:space="preserve">https://doi.org/10.3758/CABN.4.3.335</w:t>
        </w:r>
      </w:hyperlink>
    </w:p>
    <w:bookmarkEnd w:id="80"/>
    <w:bookmarkStart w:id="82" w:name="ref-eagleman2009a"/>
    <w:p>
      <w:pPr>
        <w:pStyle w:val="Bibliography"/>
      </w:pPr>
      <w:r>
        <w:t xml:space="preserve">Eagleman, D. M. (2009). The objectification of overlearned sequences: A new view of spatial sequence synesthesia.</w:t>
      </w:r>
      <w:r>
        <w:t xml:space="preserve"> </w:t>
      </w:r>
      <w:r>
        <w:rPr>
          <w:i/>
          <w:iCs/>
        </w:rPr>
        <w:t xml:space="preserve">Cortex</w:t>
      </w:r>
      <w:r>
        <w:t xml:space="preserve">,</w:t>
      </w:r>
      <w:r>
        <w:t xml:space="preserve"> </w:t>
      </w:r>
      <w:r>
        <w:rPr>
          <w:i/>
          <w:iCs/>
        </w:rPr>
        <w:t xml:space="preserve">45</w:t>
      </w:r>
      <w:r>
        <w:t xml:space="preserve">(10), 1266–1277.</w:t>
      </w:r>
      <w:r>
        <w:t xml:space="preserve"> </w:t>
      </w:r>
      <w:hyperlink r:id="rId81">
        <w:r>
          <w:rPr>
            <w:rStyle w:val="Hyperlink"/>
          </w:rPr>
          <w:t xml:space="preserve">https://doi.org/10.1016/j.cortex.2009.06.012</w:t>
        </w:r>
      </w:hyperlink>
    </w:p>
    <w:bookmarkEnd w:id="82"/>
    <w:bookmarkStart w:id="84" w:name="ref-eagleman2009"/>
    <w:p>
      <w:pPr>
        <w:pStyle w:val="Bibliography"/>
      </w:pPr>
      <w:r>
        <w:t xml:space="preserve">Eagleman, D. M., &amp; Goodale, M. A. (2009). Why color synesthesia involves more than color.</w:t>
      </w:r>
      <w:r>
        <w:t xml:space="preserve"> </w:t>
      </w:r>
      <w:r>
        <w:rPr>
          <w:i/>
          <w:iCs/>
        </w:rPr>
        <w:t xml:space="preserve">Trends in Cognitive Sciences</w:t>
      </w:r>
      <w:r>
        <w:t xml:space="preserve">,</w:t>
      </w:r>
      <w:r>
        <w:t xml:space="preserve"> </w:t>
      </w:r>
      <w:r>
        <w:rPr>
          <w:i/>
          <w:iCs/>
        </w:rPr>
        <w:t xml:space="preserve">13</w:t>
      </w:r>
      <w:r>
        <w:t xml:space="preserve">(7), 288–292.</w:t>
      </w:r>
      <w:r>
        <w:t xml:space="preserve"> </w:t>
      </w:r>
      <w:hyperlink r:id="rId83">
        <w:r>
          <w:rPr>
            <w:rStyle w:val="Hyperlink"/>
          </w:rPr>
          <w:t xml:space="preserve">https://doi.org/10.1016/j.tics.2009.03.009</w:t>
        </w:r>
      </w:hyperlink>
    </w:p>
    <w:bookmarkEnd w:id="84"/>
    <w:bookmarkStart w:id="86" w:name="ref-flournoy1893"/>
    <w:p>
      <w:pPr>
        <w:pStyle w:val="Bibliography"/>
      </w:pPr>
      <w:r>
        <w:t xml:space="preserve">Flournoy, T. (1893).</w:t>
      </w:r>
      <w:r>
        <w:t xml:space="preserve"> </w:t>
      </w:r>
      <w:r>
        <w:rPr>
          <w:i/>
          <w:iCs/>
        </w:rPr>
        <w:t xml:space="preserve">Des phénomènes de synopsie (audition colorée): Photismes, schèmes visuels, personnifications</w:t>
      </w:r>
      <w:r>
        <w:t xml:space="preserve">. Alcan.</w:t>
      </w:r>
      <w:r>
        <w:t xml:space="preserve"> </w:t>
      </w:r>
      <w:hyperlink r:id="rId85">
        <w:r>
          <w:rPr>
            <w:rStyle w:val="Hyperlink"/>
          </w:rPr>
          <w:t xml:space="preserve">https://books.google.bj/books?id=JISQxpcyGUMC</w:t>
        </w:r>
      </w:hyperlink>
    </w:p>
    <w:bookmarkEnd w:id="86"/>
    <w:bookmarkStart w:id="88" w:name="ref-galton1880"/>
    <w:p>
      <w:pPr>
        <w:pStyle w:val="Bibliography"/>
      </w:pPr>
      <w:r>
        <w:t xml:space="preserve">Galton, F. (1880). Visualised Numerals.</w:t>
      </w:r>
      <w:r>
        <w:t xml:space="preserve"> </w:t>
      </w:r>
      <w:r>
        <w:rPr>
          <w:i/>
          <w:iCs/>
        </w:rPr>
        <w:t xml:space="preserve">Nature</w:t>
      </w:r>
      <w:r>
        <w:t xml:space="preserve">,</w:t>
      </w:r>
      <w:r>
        <w:t xml:space="preserve"> </w:t>
      </w:r>
      <w:r>
        <w:rPr>
          <w:i/>
          <w:iCs/>
        </w:rPr>
        <w:t xml:space="preserve">21</w:t>
      </w:r>
      <w:r>
        <w:t xml:space="preserve">(533), 252–256.</w:t>
      </w:r>
      <w:r>
        <w:t xml:space="preserve"> </w:t>
      </w:r>
      <w:hyperlink r:id="rId87">
        <w:r>
          <w:rPr>
            <w:rStyle w:val="Hyperlink"/>
          </w:rPr>
          <w:t xml:space="preserve">https://doi.org/10.1038/021252a0</w:t>
        </w:r>
      </w:hyperlink>
    </w:p>
    <w:bookmarkEnd w:id="88"/>
    <w:bookmarkStart w:id="90" w:name="ref-gould2014"/>
    <w:p>
      <w:pPr>
        <w:pStyle w:val="Bibliography"/>
      </w:pPr>
      <w:r>
        <w:t xml:space="preserve">Gould, C., Froese, T., Barrett, A. B., Ward, J., &amp; Seth, A. K. (2014). An extended case study on the phenomenology of sequence-space synesthesia.</w:t>
      </w:r>
      <w:r>
        <w:t xml:space="preserve"> </w:t>
      </w:r>
      <w:r>
        <w:rPr>
          <w:i/>
          <w:iCs/>
        </w:rPr>
        <w:t xml:space="preserve">Frontiers in Human Neuroscience</w:t>
      </w:r>
      <w:r>
        <w:t xml:space="preserve">,</w:t>
      </w:r>
      <w:r>
        <w:t xml:space="preserve"> </w:t>
      </w:r>
      <w:r>
        <w:rPr>
          <w:i/>
          <w:iCs/>
        </w:rPr>
        <w:t xml:space="preserve">8</w:t>
      </w:r>
      <w:r>
        <w:t xml:space="preserve">.</w:t>
      </w:r>
      <w:r>
        <w:t xml:space="preserve"> </w:t>
      </w:r>
      <w:hyperlink r:id="rId89">
        <w:r>
          <w:rPr>
            <w:rStyle w:val="Hyperlink"/>
          </w:rPr>
          <w:t xml:space="preserve">https://doi.org/10.3389/fnhum.2014.00433</w:t>
        </w:r>
      </w:hyperlink>
    </w:p>
    <w:bookmarkEnd w:id="90"/>
    <w:bookmarkStart w:id="91" w:name="ref-herring2010"/>
    <w:p>
      <w:pPr>
        <w:pStyle w:val="Bibliography"/>
      </w:pPr>
      <w:r>
        <w:t xml:space="preserve">Herring, J. R. (2010).</w:t>
      </w:r>
      <w:r>
        <w:t xml:space="preserve"> </w:t>
      </w:r>
      <w:r>
        <w:rPr>
          <w:i/>
          <w:iCs/>
        </w:rPr>
        <w:t xml:space="preserve">OpenGIS® Implementation Standard for Geographic information - Simple feature access - Part 1: Common architecture</w:t>
      </w:r>
      <w:r>
        <w:t xml:space="preserve">.</w:t>
      </w:r>
    </w:p>
    <w:bookmarkEnd w:id="91"/>
    <w:bookmarkStart w:id="93" w:name="ref-jarick2009"/>
    <w:p>
      <w:pPr>
        <w:pStyle w:val="Bibliography"/>
      </w:pPr>
      <w:r>
        <w:t xml:space="preserve">Jarick, M., Dixon, M. J., Stewart, M. T., Maxwell, E. C., &amp; Smilek, D. (2009). A different outlook on time: Visual and auditory month names elicit different mental vantage points for a time-space synaesthete.</w:t>
      </w:r>
      <w:r>
        <w:t xml:space="preserve"> </w:t>
      </w:r>
      <w:r>
        <w:rPr>
          <w:i/>
          <w:iCs/>
        </w:rPr>
        <w:t xml:space="preserve">Cortex</w:t>
      </w:r>
      <w:r>
        <w:t xml:space="preserve">,</w:t>
      </w:r>
      <w:r>
        <w:t xml:space="preserve"> </w:t>
      </w:r>
      <w:r>
        <w:rPr>
          <w:i/>
          <w:iCs/>
        </w:rPr>
        <w:t xml:space="preserve">45</w:t>
      </w:r>
      <w:r>
        <w:t xml:space="preserve">(10), 1217–1228.</w:t>
      </w:r>
      <w:r>
        <w:t xml:space="preserve"> </w:t>
      </w:r>
      <w:hyperlink r:id="rId92">
        <w:r>
          <w:rPr>
            <w:rStyle w:val="Hyperlink"/>
          </w:rPr>
          <w:t xml:space="preserve">https://doi.org/10.1016/j.cortex.2009.05.014</w:t>
        </w:r>
      </w:hyperlink>
    </w:p>
    <w:bookmarkEnd w:id="93"/>
    <w:bookmarkStart w:id="95" w:name="ref-jonas2014"/>
    <w:p>
      <w:pPr>
        <w:pStyle w:val="Bibliography"/>
      </w:pPr>
      <w:r>
        <w:t xml:space="preserve">Jonas, C. N., &amp; Price, M. C. (2014). Not all synesthetes are alike: Spatial vs. Visual dimensions of sequence-space synesthesia.</w:t>
      </w:r>
      <w:r>
        <w:t xml:space="preserve"> </w:t>
      </w:r>
      <w:r>
        <w:rPr>
          <w:i/>
          <w:iCs/>
        </w:rPr>
        <w:t xml:space="preserve">Frontiers in Psychology</w:t>
      </w:r>
      <w:r>
        <w:t xml:space="preserve">,</w:t>
      </w:r>
      <w:r>
        <w:t xml:space="preserve"> </w:t>
      </w:r>
      <w:r>
        <w:rPr>
          <w:i/>
          <w:iCs/>
        </w:rPr>
        <w:t xml:space="preserve">5</w:t>
      </w:r>
      <w:r>
        <w:t xml:space="preserve">.</w:t>
      </w:r>
      <w:r>
        <w:t xml:space="preserve"> </w:t>
      </w:r>
      <w:hyperlink r:id="rId94">
        <w:r>
          <w:rPr>
            <w:rStyle w:val="Hyperlink"/>
          </w:rPr>
          <w:t xml:space="preserve">https://doi.org/10.3389/fpsyg.2014.01171</w:t>
        </w:r>
      </w:hyperlink>
    </w:p>
    <w:bookmarkEnd w:id="95"/>
    <w:bookmarkStart w:id="97" w:name="ref-lyons2013"/>
    <w:p>
      <w:pPr>
        <w:pStyle w:val="Bibliography"/>
      </w:pPr>
      <w:r>
        <w:t xml:space="preserve">Lyons, I. M., &amp; Beilock, S. L. (2013). Ordinality and the Nature of Symbolic Numbers.</w:t>
      </w:r>
      <w:r>
        <w:t xml:space="preserve"> </w:t>
      </w:r>
      <w:r>
        <w:rPr>
          <w:i/>
          <w:iCs/>
        </w:rPr>
        <w:t xml:space="preserve">The Journal of Neuroscience</w:t>
      </w:r>
      <w:r>
        <w:t xml:space="preserve">,</w:t>
      </w:r>
      <w:r>
        <w:t xml:space="preserve"> </w:t>
      </w:r>
      <w:r>
        <w:rPr>
          <w:i/>
          <w:iCs/>
        </w:rPr>
        <w:t xml:space="preserve">33</w:t>
      </w:r>
      <w:r>
        <w:t xml:space="preserve">(43), 17052–17061.</w:t>
      </w:r>
      <w:r>
        <w:t xml:space="preserve"> </w:t>
      </w:r>
      <w:hyperlink r:id="rId96">
        <w:r>
          <w:rPr>
            <w:rStyle w:val="Hyperlink"/>
          </w:rPr>
          <w:t xml:space="preserve">https://doi.org/10.1523/JNEUROSCI.1775-13.2013</w:t>
        </w:r>
      </w:hyperlink>
    </w:p>
    <w:bookmarkEnd w:id="97"/>
    <w:bookmarkStart w:id="99" w:name="ref-pebesma2018"/>
    <w:p>
      <w:pPr>
        <w:pStyle w:val="Bibliography"/>
      </w:pPr>
      <w:r>
        <w:t xml:space="preserve">Pebesma, E. (2018). Simple Features for R: Standardized Support for Spatial Vector Data.</w:t>
      </w:r>
      <w:r>
        <w:t xml:space="preserve"> </w:t>
      </w:r>
      <w:r>
        <w:rPr>
          <w:i/>
          <w:iCs/>
        </w:rPr>
        <w:t xml:space="preserve">The R Journal</w:t>
      </w:r>
      <w:r>
        <w:t xml:space="preserve">,</w:t>
      </w:r>
      <w:r>
        <w:t xml:space="preserve"> </w:t>
      </w:r>
      <w:r>
        <w:rPr>
          <w:i/>
          <w:iCs/>
        </w:rPr>
        <w:t xml:space="preserve">10</w:t>
      </w:r>
      <w:r>
        <w:t xml:space="preserve">(1), 439–446.</w:t>
      </w:r>
      <w:r>
        <w:t xml:space="preserve"> </w:t>
      </w:r>
      <w:hyperlink r:id="rId98">
        <w:r>
          <w:rPr>
            <w:rStyle w:val="Hyperlink"/>
          </w:rPr>
          <w:t xml:space="preserve">https://doi.org/10.32614/RJ-2018-009</w:t>
        </w:r>
      </w:hyperlink>
    </w:p>
    <w:bookmarkEnd w:id="99"/>
    <w:bookmarkStart w:id="100" w:name="ref-postgis"/>
    <w:p>
      <w:pPr>
        <w:pStyle w:val="Bibliography"/>
      </w:pPr>
      <w:r>
        <w:rPr>
          <w:i/>
          <w:iCs/>
        </w:rPr>
        <w:t xml:space="preserve">PostGIS 3.6.2dev manual</w:t>
      </w:r>
      <w:r>
        <w:t xml:space="preserve">. (n.d.).</w:t>
      </w:r>
    </w:p>
    <w:bookmarkEnd w:id="100"/>
    <w:bookmarkStart w:id="102" w:name="ref-price2013"/>
    <w:p>
      <w:pPr>
        <w:pStyle w:val="Bibliography"/>
      </w:pPr>
      <w:r>
        <w:t xml:space="preserve">Price, M., &amp; Pearson, D. (2013). Toward a visuospatial developmental account of sequence-space synesthesia.</w:t>
      </w:r>
      <w:r>
        <w:t xml:space="preserve"> </w:t>
      </w:r>
      <w:r>
        <w:rPr>
          <w:i/>
          <w:iCs/>
        </w:rPr>
        <w:t xml:space="preserve">Frontiers in Human Neuroscience</w:t>
      </w:r>
      <w:r>
        <w:t xml:space="preserve">,</w:t>
      </w:r>
      <w:r>
        <w:t xml:space="preserve"> </w:t>
      </w:r>
      <w:r>
        <w:rPr>
          <w:i/>
          <w:iCs/>
        </w:rPr>
        <w:t xml:space="preserve">7</w:t>
      </w:r>
      <w:r>
        <w:t xml:space="preserve">.</w:t>
      </w:r>
      <w:r>
        <w:t xml:space="preserve"> </w:t>
      </w:r>
      <w:hyperlink r:id="rId101">
        <w:r>
          <w:rPr>
            <w:rStyle w:val="Hyperlink"/>
          </w:rPr>
          <w:t xml:space="preserve">https://doi.org/10.3389/fnhum.2013.00689</w:t>
        </w:r>
      </w:hyperlink>
    </w:p>
    <w:bookmarkEnd w:id="102"/>
    <w:bookmarkStart w:id="104" w:name="ref-root2021"/>
    <w:p>
      <w:pPr>
        <w:pStyle w:val="Bibliography"/>
      </w:pPr>
      <w:r>
        <w:t xml:space="preserve">Root, N., Asano, M., Melero, H., Kim, C.-Y., Sidoroff-Dorso, A. V., Vatakis, A., Yokosawa, K., Ramachandran, V., &amp; Rouw, R. (2021). Do the colors of your letters depend on your language? Language-dependent and universal influences on grapheme-color synesthesia in seven languages.</w:t>
      </w:r>
      <w:r>
        <w:t xml:space="preserve"> </w:t>
      </w:r>
      <w:r>
        <w:rPr>
          <w:i/>
          <w:iCs/>
        </w:rPr>
        <w:t xml:space="preserve">Consciousness and Cognition</w:t>
      </w:r>
      <w:r>
        <w:t xml:space="preserve">,</w:t>
      </w:r>
      <w:r>
        <w:t xml:space="preserve"> </w:t>
      </w:r>
      <w:r>
        <w:rPr>
          <w:i/>
          <w:iCs/>
        </w:rPr>
        <w:t xml:space="preserve">95</w:t>
      </w:r>
      <w:r>
        <w:t xml:space="preserve">, 103192.</w:t>
      </w:r>
      <w:r>
        <w:t xml:space="preserve"> </w:t>
      </w:r>
      <w:hyperlink r:id="rId103">
        <w:r>
          <w:rPr>
            <w:rStyle w:val="Hyperlink"/>
          </w:rPr>
          <w:t xml:space="preserve">https://doi.org/10.1016/j.concog.2021.103192</w:t>
        </w:r>
      </w:hyperlink>
    </w:p>
    <w:bookmarkEnd w:id="104"/>
    <w:bookmarkStart w:id="106" w:name="ref-root2025"/>
    <w:p>
      <w:pPr>
        <w:pStyle w:val="Bibliography"/>
      </w:pPr>
      <w:r>
        <w:t xml:space="preserve">Root, N., Chkhaidze, A., Melero, H., Sidoroff-Dorso, A., Volberg, G., Zhang, Y., &amp; Rouw, R. (2025). How</w:t>
      </w:r>
      <w:r>
        <w:t xml:space="preserve"> </w:t>
      </w:r>
      <w:r>
        <w:t xml:space="preserve">“</w:t>
      </w:r>
      <w:r>
        <w:t xml:space="preserve">diagnostic</w:t>
      </w:r>
      <w:r>
        <w:t xml:space="preserve">”</w:t>
      </w:r>
      <w:r>
        <w:t xml:space="preserve"> </w:t>
      </w:r>
      <w:r>
        <w:t xml:space="preserve">criteria interact to shape synesthetic behavior: The role of self-report and test</w:t>
      </w:r>
      <w:r>
        <w:t xml:space="preserve">retest consistency in synesthesia research.</w:t>
      </w:r>
      <w:r>
        <w:t xml:space="preserve"> </w:t>
      </w:r>
      <w:r>
        <w:rPr>
          <w:i/>
          <w:iCs/>
        </w:rPr>
        <w:t xml:space="preserve">Consciousness and Cognition</w:t>
      </w:r>
      <w:r>
        <w:t xml:space="preserve">,</w:t>
      </w:r>
      <w:r>
        <w:t xml:space="preserve"> </w:t>
      </w:r>
      <w:r>
        <w:rPr>
          <w:i/>
          <w:iCs/>
        </w:rPr>
        <w:t xml:space="preserve">129</w:t>
      </w:r>
      <w:r>
        <w:t xml:space="preserve">, 103819.</w:t>
      </w:r>
      <w:r>
        <w:t xml:space="preserve"> </w:t>
      </w:r>
      <w:hyperlink r:id="rId105">
        <w:r>
          <w:rPr>
            <w:rStyle w:val="Hyperlink"/>
          </w:rPr>
          <w:t xml:space="preserve">https://doi.org/10.1016/j.concog.2025.103819</w:t>
        </w:r>
      </w:hyperlink>
    </w:p>
    <w:bookmarkEnd w:id="106"/>
    <w:bookmarkStart w:id="108" w:name="ref-rothen2016"/>
    <w:p>
      <w:pPr>
        <w:pStyle w:val="Bibliography"/>
      </w:pPr>
      <w:r>
        <w:t xml:space="preserve">Rothen, N., Jünemann, K., Mealor, A. D., Burckhardt, V., &amp; Ward, J. (2016a). The sensitivity and specificity of a diagnostic test of sequence-space synesthesia.</w:t>
      </w:r>
      <w:r>
        <w:t xml:space="preserve"> </w:t>
      </w:r>
      <w:r>
        <w:rPr>
          <w:i/>
          <w:iCs/>
        </w:rPr>
        <w:t xml:space="preserve">Behavior Research Methods</w:t>
      </w:r>
      <w:r>
        <w:t xml:space="preserve">,</w:t>
      </w:r>
      <w:r>
        <w:t xml:space="preserve"> </w:t>
      </w:r>
      <w:r>
        <w:rPr>
          <w:i/>
          <w:iCs/>
        </w:rPr>
        <w:t xml:space="preserve">48</w:t>
      </w:r>
      <w:r>
        <w:t xml:space="preserve">(4), 1476–1481.</w:t>
      </w:r>
      <w:r>
        <w:t xml:space="preserve"> </w:t>
      </w:r>
      <w:hyperlink r:id="rId107">
        <w:r>
          <w:rPr>
            <w:rStyle w:val="Hyperlink"/>
          </w:rPr>
          <w:t xml:space="preserve">https://doi.org/10.3758/s13428-015-0656-2</w:t>
        </w:r>
      </w:hyperlink>
    </w:p>
    <w:bookmarkEnd w:id="108"/>
    <w:bookmarkStart w:id="109" w:name="ref-rothen2016a"/>
    <w:p>
      <w:pPr>
        <w:pStyle w:val="Bibliography"/>
      </w:pPr>
      <w:r>
        <w:t xml:space="preserve">Rothen, N., Jünemann, K., Mealor, A. D., Burckhardt, V., &amp; Ward, J. (2016b). The sensitivity and specificity of a diagnostic test of sequence-space synesthesia.</w:t>
      </w:r>
      <w:r>
        <w:t xml:space="preserve"> </w:t>
      </w:r>
      <w:r>
        <w:rPr>
          <w:i/>
          <w:iCs/>
        </w:rPr>
        <w:t xml:space="preserve">Behavior Research Methods</w:t>
      </w:r>
      <w:r>
        <w:t xml:space="preserve">,</w:t>
      </w:r>
      <w:r>
        <w:t xml:space="preserve"> </w:t>
      </w:r>
      <w:r>
        <w:rPr>
          <w:i/>
          <w:iCs/>
        </w:rPr>
        <w:t xml:space="preserve">48</w:t>
      </w:r>
      <w:r>
        <w:t xml:space="preserve">(4), 1476–1481.</w:t>
      </w:r>
      <w:r>
        <w:t xml:space="preserve"> </w:t>
      </w:r>
      <w:hyperlink r:id="rId107">
        <w:r>
          <w:rPr>
            <w:rStyle w:val="Hyperlink"/>
          </w:rPr>
          <w:t xml:space="preserve">https://doi.org/10.3758/s13428-015-0656-2</w:t>
        </w:r>
      </w:hyperlink>
    </w:p>
    <w:bookmarkEnd w:id="109"/>
    <w:bookmarkStart w:id="111" w:name="ref-rothen2013a"/>
    <w:p>
      <w:pPr>
        <w:pStyle w:val="Bibliography"/>
      </w:pPr>
      <w:r>
        <w:t xml:space="preserve">Rothen, N., Seth, A. K., Witzel, C., &amp; Ward, J. (2013). Diagnosing synaesthesia with online colour pickers: Maximising sensitivity and specificity.</w:t>
      </w:r>
      <w:r>
        <w:t xml:space="preserve"> </w:t>
      </w:r>
      <w:r>
        <w:rPr>
          <w:i/>
          <w:iCs/>
        </w:rPr>
        <w:t xml:space="preserve">Journal of Neuroscience Methods</w:t>
      </w:r>
      <w:r>
        <w:t xml:space="preserve">,</w:t>
      </w:r>
      <w:r>
        <w:t xml:space="preserve"> </w:t>
      </w:r>
      <w:r>
        <w:rPr>
          <w:i/>
          <w:iCs/>
        </w:rPr>
        <w:t xml:space="preserve">215</w:t>
      </w:r>
      <w:r>
        <w:t xml:space="preserve">(1), 156–160.</w:t>
      </w:r>
      <w:r>
        <w:t xml:space="preserve"> </w:t>
      </w:r>
      <w:hyperlink r:id="rId110">
        <w:r>
          <w:rPr>
            <w:rStyle w:val="Hyperlink"/>
          </w:rPr>
          <w:t xml:space="preserve">https://doi.org/10.1016/j.jneumeth.2013.02.009</w:t>
        </w:r>
      </w:hyperlink>
    </w:p>
    <w:bookmarkEnd w:id="111"/>
    <w:bookmarkStart w:id="113" w:name="ref-sagiv2006"/>
    <w:p>
      <w:pPr>
        <w:pStyle w:val="Bibliography"/>
      </w:pPr>
      <w:r>
        <w:t xml:space="preserve">Sagiv, N., Simner, J., Collins, J., Butterworth, B., &amp; Ward, J. (2006). What is the relationship between synaesthesia and visuo-spatial number forms?</w:t>
      </w:r>
      <w:r>
        <w:t xml:space="preserve"> </w:t>
      </w:r>
      <w:r>
        <w:rPr>
          <w:i/>
          <w:iCs/>
        </w:rPr>
        <w:t xml:space="preserve">Cognition</w:t>
      </w:r>
      <w:r>
        <w:t xml:space="preserve">,</w:t>
      </w:r>
      <w:r>
        <w:t xml:space="preserve"> </w:t>
      </w:r>
      <w:r>
        <w:rPr>
          <w:i/>
          <w:iCs/>
        </w:rPr>
        <w:t xml:space="preserve">101</w:t>
      </w:r>
      <w:r>
        <w:t xml:space="preserve">(1), 114–128.</w:t>
      </w:r>
      <w:r>
        <w:t xml:space="preserve"> </w:t>
      </w:r>
      <w:hyperlink r:id="rId112">
        <w:r>
          <w:rPr>
            <w:rStyle w:val="Hyperlink"/>
          </w:rPr>
          <w:t xml:space="preserve">https://doi.org/10.1016/j.cognition.2005.09.004</w:t>
        </w:r>
      </w:hyperlink>
    </w:p>
    <w:bookmarkEnd w:id="113"/>
    <w:bookmarkStart w:id="115" w:name="ref-seron1992"/>
    <w:p>
      <w:pPr>
        <w:pStyle w:val="Bibliography"/>
      </w:pPr>
      <w:r>
        <w:t xml:space="preserve">Seron, X., Pesenti, M., Noël, M.-P., Deloche, G., &amp; Cornet, J.-A. (1992). Images of numbers, or</w:t>
      </w:r>
      <w:r>
        <w:t xml:space="preserve"> </w:t>
      </w:r>
      <w:r>
        <w:t xml:space="preserve">“</w:t>
      </w:r>
      <w:r>
        <w:t xml:space="preserve">when 98 is upper left and 6 sky blue</w:t>
      </w:r>
      <w:r>
        <w:t xml:space="preserve">”</w:t>
      </w:r>
      <w:r>
        <w:t xml:space="preserve">.</w:t>
      </w:r>
      <w:r>
        <w:t xml:space="preserve"> </w:t>
      </w:r>
      <w:r>
        <w:rPr>
          <w:i/>
          <w:iCs/>
        </w:rPr>
        <w:t xml:space="preserve">Cognition</w:t>
      </w:r>
      <w:r>
        <w:t xml:space="preserve">,</w:t>
      </w:r>
      <w:r>
        <w:t xml:space="preserve"> </w:t>
      </w:r>
      <w:r>
        <w:rPr>
          <w:i/>
          <w:iCs/>
        </w:rPr>
        <w:t xml:space="preserve">44</w:t>
      </w:r>
      <w:r>
        <w:t xml:space="preserve">(1), 159–196.</w:t>
      </w:r>
      <w:r>
        <w:t xml:space="preserve"> </w:t>
      </w:r>
      <w:hyperlink r:id="rId114">
        <w:r>
          <w:rPr>
            <w:rStyle w:val="Hyperlink"/>
          </w:rPr>
          <w:t xml:space="preserve">https://doi.org/10.1016/0010-0277(92)90053-K</w:t>
        </w:r>
      </w:hyperlink>
    </w:p>
    <w:bookmarkEnd w:id="115"/>
    <w:bookmarkStart w:id="117" w:name="ref-simner2012"/>
    <w:p>
      <w:pPr>
        <w:pStyle w:val="Bibliography"/>
      </w:pPr>
      <w:r>
        <w:t xml:space="preserve">Simner, J. (2012). Defining synaesthesia.</w:t>
      </w:r>
      <w:r>
        <w:t xml:space="preserve"> </w:t>
      </w:r>
      <w:r>
        <w:rPr>
          <w:i/>
          <w:iCs/>
        </w:rPr>
        <w:t xml:space="preserve">British Journal of Psychology</w:t>
      </w:r>
      <w:r>
        <w:t xml:space="preserve">,</w:t>
      </w:r>
      <w:r>
        <w:t xml:space="preserve"> </w:t>
      </w:r>
      <w:r>
        <w:rPr>
          <w:i/>
          <w:iCs/>
        </w:rPr>
        <w:t xml:space="preserve">103</w:t>
      </w:r>
      <w:r>
        <w:t xml:space="preserve">(1), 1–15.</w:t>
      </w:r>
      <w:r>
        <w:t xml:space="preserve"> </w:t>
      </w:r>
      <w:hyperlink r:id="rId116">
        <w:r>
          <w:rPr>
            <w:rStyle w:val="Hyperlink"/>
          </w:rPr>
          <w:t xml:space="preserve">https://doi.org/10.1348/000712610X528305</w:t>
        </w:r>
      </w:hyperlink>
    </w:p>
    <w:bookmarkEnd w:id="117"/>
    <w:bookmarkStart w:id="119" w:name="ref-smilek2007"/>
    <w:p>
      <w:pPr>
        <w:pStyle w:val="Bibliography"/>
      </w:pPr>
      <w:r>
        <w:t xml:space="preserve">Smilek, D., Callejas, A., Dixon, M. J., &amp; Merikle, P. M. (2007). Ovals of time: Time-space associations in synaesthesia.</w:t>
      </w:r>
      <w:r>
        <w:t xml:space="preserve"> </w:t>
      </w:r>
      <w:r>
        <w:rPr>
          <w:i/>
          <w:iCs/>
        </w:rPr>
        <w:t xml:space="preserve">Consciousness and Cognition</w:t>
      </w:r>
      <w:r>
        <w:t xml:space="preserve">,</w:t>
      </w:r>
      <w:r>
        <w:t xml:space="preserve"> </w:t>
      </w:r>
      <w:r>
        <w:rPr>
          <w:i/>
          <w:iCs/>
        </w:rPr>
        <w:t xml:space="preserve">16</w:t>
      </w:r>
      <w:r>
        <w:t xml:space="preserve">(2), 507–519.</w:t>
      </w:r>
      <w:r>
        <w:t xml:space="preserve"> </w:t>
      </w:r>
      <w:hyperlink r:id="rId118">
        <w:r>
          <w:rPr>
            <w:rStyle w:val="Hyperlink"/>
          </w:rPr>
          <w:t xml:space="preserve">https://doi.org/10.1016/j.concog.2006.06.013</w:t>
        </w:r>
      </w:hyperlink>
    </w:p>
    <w:bookmarkEnd w:id="119"/>
    <w:bookmarkStart w:id="121" w:name="ref-vanpetersen2020"/>
    <w:p>
      <w:pPr>
        <w:pStyle w:val="Bibliography"/>
      </w:pPr>
      <w:r>
        <w:t xml:space="preserve">Van Petersen, E., Altgassen, M., Van Lier, R., &amp; Van Leeuwen, T. M. (2020b). Enhanced spatial navigation skills in sequence-space synesthetes.</w:t>
      </w:r>
      <w:r>
        <w:t xml:space="preserve"> </w:t>
      </w:r>
      <w:r>
        <w:rPr>
          <w:i/>
          <w:iCs/>
        </w:rPr>
        <w:t xml:space="preserve">Cortex</w:t>
      </w:r>
      <w:r>
        <w:t xml:space="preserve">,</w:t>
      </w:r>
      <w:r>
        <w:t xml:space="preserve"> </w:t>
      </w:r>
      <w:r>
        <w:rPr>
          <w:i/>
          <w:iCs/>
        </w:rPr>
        <w:t xml:space="preserve">130</w:t>
      </w:r>
      <w:r>
        <w:t xml:space="preserve">, 49–63.</w:t>
      </w:r>
      <w:r>
        <w:t xml:space="preserve"> </w:t>
      </w:r>
      <w:hyperlink r:id="rId120">
        <w:r>
          <w:rPr>
            <w:rStyle w:val="Hyperlink"/>
          </w:rPr>
          <w:t xml:space="preserve">https://doi.org/10.1016/j.cortex.2020.04.034</w:t>
        </w:r>
      </w:hyperlink>
    </w:p>
    <w:bookmarkEnd w:id="121"/>
    <w:bookmarkStart w:id="122" w:name="ref-vanpetersen2020a"/>
    <w:p>
      <w:pPr>
        <w:pStyle w:val="Bibliography"/>
      </w:pPr>
      <w:r>
        <w:t xml:space="preserve">Van Petersen, E., Altgassen, M., Van Lier, R., &amp; Van Leeuwen, T. M. (2020a). Enhanced spatial navigation skills in sequence-space synesthetes.</w:t>
      </w:r>
      <w:r>
        <w:t xml:space="preserve"> </w:t>
      </w:r>
      <w:r>
        <w:rPr>
          <w:i/>
          <w:iCs/>
        </w:rPr>
        <w:t xml:space="preserve">Cortex</w:t>
      </w:r>
      <w:r>
        <w:t xml:space="preserve">,</w:t>
      </w:r>
      <w:r>
        <w:t xml:space="preserve"> </w:t>
      </w:r>
      <w:r>
        <w:rPr>
          <w:i/>
          <w:iCs/>
        </w:rPr>
        <w:t xml:space="preserve">130</w:t>
      </w:r>
      <w:r>
        <w:t xml:space="preserve">, 49–63.</w:t>
      </w:r>
      <w:r>
        <w:t xml:space="preserve"> </w:t>
      </w:r>
      <w:hyperlink r:id="rId120">
        <w:r>
          <w:rPr>
            <w:rStyle w:val="Hyperlink"/>
          </w:rPr>
          <w:t xml:space="preserve">https://doi.org/10.1016/j.cortex.2020.04.034</w:t>
        </w:r>
      </w:hyperlink>
    </w:p>
    <w:bookmarkEnd w:id="122"/>
    <w:bookmarkStart w:id="124" w:name="ref-ward"/>
    <w:p>
      <w:pPr>
        <w:pStyle w:val="Bibliography"/>
      </w:pPr>
      <w:r>
        <w:t xml:space="preserve">Ward, J. (n.d.).</w:t>
      </w:r>
      <w:r>
        <w:t xml:space="preserve"> </w:t>
      </w:r>
      <w:r>
        <w:rPr>
          <w:i/>
          <w:iCs/>
        </w:rPr>
        <w:t xml:space="preserve">Optimizing a Measure of Consistency for Sequence-Space Synaesthesia</w:t>
      </w:r>
      <w:r>
        <w:t xml:space="preserve">.</w:t>
      </w:r>
      <w:r>
        <w:t xml:space="preserve"> </w:t>
      </w:r>
      <w:hyperlink r:id="rId123">
        <w:r>
          <w:rPr>
            <w:rStyle w:val="Hyperlink"/>
          </w:rPr>
          <w:t xml:space="preserve">https://doi.org/10.31234/osf.io/5cnr7</w:t>
        </w:r>
      </w:hyperlink>
    </w:p>
    <w:bookmarkEnd w:id="124"/>
    <w:bookmarkStart w:id="126" w:name="ref-ward2022a"/>
    <w:p>
      <w:pPr>
        <w:pStyle w:val="Bibliography"/>
      </w:pPr>
      <w:r>
        <w:t xml:space="preserve">Ward, J. (2022).</w:t>
      </w:r>
      <w:r>
        <w:t xml:space="preserve"> </w:t>
      </w:r>
      <w:r>
        <w:rPr>
          <w:i/>
          <w:iCs/>
        </w:rPr>
        <w:t xml:space="preserve">Optimizing a measure of consistency for sequence-space synaesthesia</w:t>
      </w:r>
      <w:r>
        <w:t xml:space="preserve">.</w:t>
      </w:r>
      <w:r>
        <w:t xml:space="preserve"> </w:t>
      </w:r>
      <w:hyperlink r:id="rId125">
        <w:r>
          <w:rPr>
            <w:rStyle w:val="Hyperlink"/>
          </w:rPr>
          <w:t xml:space="preserve">https://osf.io/5cnr7_v1</w:t>
        </w:r>
      </w:hyperlink>
    </w:p>
    <w:bookmarkEnd w:id="126"/>
    <w:bookmarkStart w:id="128" w:name="ref-ward2018"/>
    <w:p>
      <w:pPr>
        <w:pStyle w:val="Bibliography"/>
      </w:pPr>
      <w:r>
        <w:t xml:space="preserve">Ward, J., Ipser, A., Phanvanova, E., Brown, P., Bunte, I., &amp; Simner, J. (2018). The prevalence and cognitive profile of sequence-space synaesthesia.</w:t>
      </w:r>
      <w:r>
        <w:t xml:space="preserve"> </w:t>
      </w:r>
      <w:r>
        <w:rPr>
          <w:i/>
          <w:iCs/>
        </w:rPr>
        <w:t xml:space="preserve">Consciousness and Cognition</w:t>
      </w:r>
      <w:r>
        <w:t xml:space="preserve">,</w:t>
      </w:r>
      <w:r>
        <w:t xml:space="preserve"> </w:t>
      </w:r>
      <w:r>
        <w:rPr>
          <w:i/>
          <w:iCs/>
        </w:rPr>
        <w:t xml:space="preserve">61</w:t>
      </w:r>
      <w:r>
        <w:t xml:space="preserve">, 79–93.</w:t>
      </w:r>
      <w:r>
        <w:t xml:space="preserve"> </w:t>
      </w:r>
      <w:hyperlink r:id="rId127">
        <w:r>
          <w:rPr>
            <w:rStyle w:val="Hyperlink"/>
          </w:rPr>
          <w:t xml:space="preserve">https://doi.org/10.1016/j.concog.2018.03.012</w:t>
        </w:r>
      </w:hyperlink>
    </w:p>
    <w:bookmarkEnd w:id="128"/>
    <w:bookmarkStart w:id="130" w:name="ref-ward2022"/>
    <w:p>
      <w:pPr>
        <w:pStyle w:val="Bibliography"/>
      </w:pPr>
      <w:r>
        <w:t xml:space="preserve">Ward, J., &amp; Simner, J. (2022). How do Different Types of Synesthesia Cluster Together? Implications for Causal Mechanisms.</w:t>
      </w:r>
      <w:r>
        <w:t xml:space="preserve"> </w:t>
      </w:r>
      <w:r>
        <w:rPr>
          <w:i/>
          <w:iCs/>
        </w:rPr>
        <w:t xml:space="preserve">Perception</w:t>
      </w:r>
      <w:r>
        <w:t xml:space="preserve">,</w:t>
      </w:r>
      <w:r>
        <w:t xml:space="preserve"> </w:t>
      </w:r>
      <w:r>
        <w:rPr>
          <w:i/>
          <w:iCs/>
        </w:rPr>
        <w:t xml:space="preserve">51</w:t>
      </w:r>
      <w:r>
        <w:t xml:space="preserve">(2), 91–113.</w:t>
      </w:r>
      <w:r>
        <w:t xml:space="preserve"> </w:t>
      </w:r>
      <w:hyperlink r:id="rId129">
        <w:r>
          <w:rPr>
            <w:rStyle w:val="Hyperlink"/>
          </w:rPr>
          <w:t xml:space="preserve">https://doi.org/10.1177/03010066211070761</w:t>
        </w:r>
      </w:hyperlink>
    </w:p>
    <w:bookmarkEnd w:id="130"/>
    <w:bookmarkStart w:id="132" w:name="ref-youden1950"/>
    <w:p>
      <w:pPr>
        <w:pStyle w:val="Bibliography"/>
      </w:pPr>
      <w:r>
        <w:t xml:space="preserve">Youden, W. J. (1950). Index for rating diagnostic tests.</w:t>
      </w:r>
      <w:r>
        <w:t xml:space="preserve"> </w:t>
      </w:r>
      <w:r>
        <w:rPr>
          <w:i/>
          <w:iCs/>
        </w:rPr>
        <w:t xml:space="preserve">Cancer</w:t>
      </w:r>
      <w:r>
        <w:t xml:space="preserve">,</w:t>
      </w:r>
      <w:r>
        <w:t xml:space="preserve"> </w:t>
      </w:r>
      <w:r>
        <w:rPr>
          <w:i/>
          <w:iCs/>
        </w:rPr>
        <w:t xml:space="preserve">3</w:t>
      </w:r>
      <w:r>
        <w:t xml:space="preserve">(1), 32–35.</w:t>
      </w:r>
      <w:r>
        <w:t xml:space="preserve"> </w:t>
      </w:r>
      <w:hyperlink r:id="rId131">
        <w:r>
          <w:rPr>
            <w:rStyle w:val="Hyperlink"/>
          </w:rPr>
          <w:t xml:space="preserve">https://doi.org/10.1002/1097-0142(1950)3:1&lt;32::aid-cncr2820030106&gt;3.0.co;2-3</w:t>
        </w:r>
      </w:hyperlink>
    </w:p>
    <w:bookmarkEnd w:id="132"/>
    <w:bookmarkEnd w:id="133"/>
    <w:p>
      <w:r>
        <w:br w:type="page"/>
      </w:r>
    </w:p>
    <w:bookmarkStart w:id="135" w:name="tbl-mytable1"/>
    <w:p>
      <w:pPr>
        <w:pStyle w:val="FigureTitle"/>
      </w:pPr>
      <w:r>
        <w:t xml:space="preserve">Table 1</w:t>
      </w:r>
    </w:p>
    <w:p>
      <w:pPr>
        <w:pStyle w:val="Caption"/>
      </w:pPr>
      <w:r>
        <w:t xml:space="preserve">My Caption</w:t>
      </w:r>
    </w:p>
    <w:bookmarkStart w:id="134" w:name="tbl-mytable1"/>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Dataset</w:t>
            </w:r>
          </w:p>
        </w:tc>
        <w:tc>
          <w:tcPr/>
          <w:p>
            <w:pPr>
              <w:pStyle w:val="Compact"/>
            </w:pPr>
            <w:r>
              <w:t xml:space="preserve">(</w:t>
            </w:r>
            <w:hyperlink w:anchor="ref-rothen2016">
              <w:r>
                <w:rPr>
                  <w:rStyle w:val="Hyperlink"/>
                </w:rPr>
                <w:t xml:space="preserve">Rothen et al., 2016a</w:t>
              </w:r>
            </w:hyperlink>
            <w:r>
              <w:t xml:space="preserve">)</w:t>
            </w:r>
          </w:p>
        </w:tc>
        <w:tc>
          <w:tcPr/>
          <w:p>
            <w:pPr>
              <w:pStyle w:val="Compact"/>
            </w:pPr>
            <w:r>
              <w:t xml:space="preserve">(</w:t>
            </w:r>
            <w:hyperlink w:anchor="ref-vanpetersen2020">
              <w:r>
                <w:rPr>
                  <w:rStyle w:val="Hyperlink"/>
                </w:rPr>
                <w:t xml:space="preserve">Van Petersen et al., 2020b</w:t>
              </w:r>
            </w:hyperlink>
            <w:r>
              <w:t xml:space="preserve">)</w:t>
            </w:r>
          </w:p>
        </w:tc>
        <w:tc>
          <w:tcPr/>
          <w:p>
            <w:pPr>
              <w:pStyle w:val="Compact"/>
            </w:pPr>
            <w:r>
              <w:t xml:space="preserve">(</w:t>
            </w:r>
            <w:hyperlink w:anchor="ref-ward2022a">
              <w:r>
                <w:rPr>
                  <w:rStyle w:val="Hyperlink"/>
                </w:rPr>
                <w:t xml:space="preserve">Ward, 2022</w:t>
              </w:r>
            </w:hyperlink>
            <w:r>
              <w:t xml:space="preserve">)</w:t>
            </w:r>
          </w:p>
        </w:tc>
        <w:tc>
          <w:tcPr/>
          <w:p>
            <w:pPr>
              <w:pStyle w:val="Compact"/>
            </w:pPr>
            <w:r>
              <w:t xml:space="preserve">Ward 2 (personal communication)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Descriptive</w:t>
            </w:r>
          </w:p>
        </w:tc>
        <w:tc>
          <w:tcPr/>
          <w:p>
            <w:pPr>
              <w:pStyle w:val="Compact"/>
            </w:pPr>
            <w:r>
              <w:t xml:space="preserve">Group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w:t>
            </w:r>
          </w:p>
        </w:tc>
        <w:tc>
          <w:tcPr/>
          <w:p>
            <w:pPr>
              <w:pStyle w:val="Compact"/>
            </w:pPr>
            <w:r>
              <w:t xml:space="preserve">Synaesthete</w:t>
            </w:r>
          </w:p>
        </w:tc>
        <w:tc>
          <w:tcPr/>
          <w:p>
            <w:pPr>
              <w:pStyle w:val="Compact"/>
            </w:pPr>
            <w:r>
              <w:t xml:space="preserve">33</w:t>
            </w:r>
          </w:p>
        </w:tc>
        <w:tc>
          <w:tcPr/>
          <w:p>
            <w:pPr>
              <w:pStyle w:val="Compact"/>
            </w:pPr>
            <w:r>
              <w:t xml:space="preserve">23</w:t>
            </w:r>
          </w:p>
        </w:tc>
        <w:tc>
          <w:tcPr/>
          <w:p>
            <w:pPr>
              <w:pStyle w:val="Compact"/>
            </w:pPr>
            <w:r>
              <w:t xml:space="preserve">252</w:t>
            </w:r>
          </w:p>
        </w:tc>
        <w:tc>
          <w:tcPr/>
          <w:p>
            <w:pPr>
              <w:pStyle w:val="Compact"/>
            </w:pPr>
            <w:r>
              <w:t xml:space="preserve">88</w:t>
            </w:r>
          </w:p>
        </w:tc>
      </w:tr>
      <w:tr>
        <w:tc>
          <w:tcPr/>
          <w:p>
            <w:pPr>
              <w:pStyle w:val="Compact"/>
            </w:pPr>
            <w:r>
              <w:t xml:space="preserve">N</w:t>
            </w:r>
          </w:p>
        </w:tc>
        <w:tc>
          <w:tcPr/>
          <w:p>
            <w:pPr>
              <w:pStyle w:val="Compact"/>
            </w:pPr>
            <w:r>
              <w:t xml:space="preserve">Control</w:t>
            </w:r>
          </w:p>
        </w:tc>
        <w:tc>
          <w:tcPr/>
          <w:p>
            <w:pPr>
              <w:pStyle w:val="Compact"/>
            </w:pPr>
            <w:r>
              <w:t xml:space="preserve">37</w:t>
            </w:r>
          </w:p>
        </w:tc>
        <w:tc>
          <w:tcPr/>
          <w:p>
            <w:pPr>
              <w:pStyle w:val="Compact"/>
            </w:pPr>
            <w:r>
              <w:t xml:space="preserve">21</w:t>
            </w:r>
          </w:p>
        </w:tc>
        <w:tc>
          <w:tcPr/>
          <w:p>
            <w:pPr>
              <w:pStyle w:val="Compact"/>
            </w:pPr>
            <w:r>
              <w:t xml:space="preserve">215</w:t>
            </w:r>
          </w:p>
        </w:tc>
        <w:tc>
          <w:tcPr/>
          <w:p>
            <w:pPr>
              <w:pStyle w:val="Compact"/>
            </w:pPr>
            <w:r>
              <w:t xml:space="preserve">17</w:t>
            </w:r>
          </w:p>
        </w:tc>
      </w:tr>
      <w:tr>
        <w:tc>
          <w:tcPr/>
          <w:p>
            <w:pPr>
              <w:pStyle w:val="Compact"/>
            </w:pPr>
            <w:r>
              <w:t xml:space="preserve">n women</w:t>
            </w:r>
          </w:p>
        </w:tc>
        <w:tc>
          <w:tcPr/>
          <w:p>
            <w:pPr>
              <w:pStyle w:val="Compact"/>
            </w:pPr>
            <w:r>
              <w:t xml:space="preserve">Synaesthete</w:t>
            </w:r>
          </w:p>
        </w:tc>
        <w:tc>
          <w:tcPr/>
          <w:p>
            <w:pPr>
              <w:pStyle w:val="Compact"/>
            </w:pPr>
            <w:r>
              <w:t xml:space="preserve">24</w:t>
            </w:r>
          </w:p>
        </w:tc>
        <w:tc>
          <w:tcPr/>
          <w:p>
            <w:pPr>
              <w:pStyle w:val="Compact"/>
            </w:pPr>
            <w:r>
              <w:t xml:space="preserve">20</w:t>
            </w:r>
          </w:p>
        </w:tc>
        <w:tc>
          <w:tcPr/>
          <w:p>
            <w:pPr>
              <w:pStyle w:val="Compact"/>
            </w:pPr>
            <w:r>
              <w:t xml:space="preserve">202</w:t>
            </w:r>
          </w:p>
        </w:tc>
        <w:tc>
          <w:tcPr/>
          <w:p>
            <w:pPr>
              <w:pStyle w:val="Compact"/>
            </w:pPr>
            <w:r>
              <w:t xml:space="preserve">-</w:t>
            </w:r>
          </w:p>
        </w:tc>
      </w:tr>
      <w:tr>
        <w:tc>
          <w:tcPr/>
          <w:p>
            <w:pPr>
              <w:pStyle w:val="Compact"/>
            </w:pPr>
            <w:r>
              <w:t xml:space="preserve">n women</w:t>
            </w:r>
          </w:p>
        </w:tc>
        <w:tc>
          <w:tcPr/>
          <w:p>
            <w:pPr>
              <w:pStyle w:val="Compact"/>
            </w:pPr>
            <w:r>
              <w:t xml:space="preserve">Control</w:t>
            </w:r>
          </w:p>
        </w:tc>
        <w:tc>
          <w:tcPr/>
          <w:p>
            <w:pPr>
              <w:pStyle w:val="Compact"/>
            </w:pPr>
            <w:r>
              <w:t xml:space="preserve">37</w:t>
            </w:r>
          </w:p>
        </w:tc>
        <w:tc>
          <w:tcPr/>
          <w:p>
            <w:pPr>
              <w:pStyle w:val="Compact"/>
            </w:pPr>
            <w:r>
              <w:t xml:space="preserve">19</w:t>
            </w:r>
          </w:p>
        </w:tc>
        <w:tc>
          <w:tcPr/>
          <w:p>
            <w:pPr>
              <w:pStyle w:val="Compact"/>
            </w:pPr>
            <w:r>
              <w:t xml:space="preserve">178</w:t>
            </w:r>
          </w:p>
        </w:tc>
        <w:tc>
          <w:tcPr/>
          <w:p>
            <w:pPr>
              <w:pStyle w:val="Compact"/>
            </w:pPr>
            <w:r>
              <w:t xml:space="preserve">-</w:t>
            </w:r>
          </w:p>
        </w:tc>
      </w:tr>
      <w:tr>
        <w:tc>
          <w:tcPr/>
          <w:p>
            <w:pPr>
              <w:pStyle w:val="Compact"/>
            </w:pPr>
            <w:r>
              <w:t xml:space="preserve">Age</w:t>
            </w:r>
          </w:p>
        </w:tc>
        <w:tc>
          <w:tcPr/>
          <w:p>
            <w:pPr>
              <w:pStyle w:val="Compact"/>
            </w:pPr>
            <w:r>
              <w:t xml:space="preserve">Synaesthete</w:t>
            </w:r>
          </w:p>
        </w:tc>
        <w:tc>
          <w:tcPr/>
          <w:p>
            <w:pPr>
              <w:pStyle w:val="Compact"/>
            </w:pPr>
            <w:r>
              <w:t xml:space="preserve">23.1</w:t>
            </w:r>
          </w:p>
        </w:tc>
        <w:tc>
          <w:tcPr/>
          <w:p>
            <w:pPr>
              <w:pStyle w:val="Compact"/>
            </w:pPr>
            <w:r>
              <w:t xml:space="preserve">23.2</w:t>
            </w:r>
          </w:p>
        </w:tc>
        <w:tc>
          <w:tcPr/>
          <w:p>
            <w:pPr>
              <w:pStyle w:val="Compact"/>
            </w:pPr>
            <w:r>
              <w:t xml:space="preserve">37.2</w:t>
            </w:r>
          </w:p>
        </w:tc>
        <w:tc>
          <w:tcPr/>
          <w:p>
            <w:pPr>
              <w:pStyle w:val="Compact"/>
            </w:pPr>
            <w:r>
              <w:t xml:space="preserve">-</w:t>
            </w:r>
          </w:p>
        </w:tc>
      </w:tr>
      <w:tr>
        <w:tc>
          <w:tcPr/>
          <w:p>
            <w:pPr>
              <w:pStyle w:val="Compact"/>
            </w:pPr>
            <w:r>
              <w:t xml:space="preserve">Age</w:t>
            </w:r>
          </w:p>
        </w:tc>
        <w:tc>
          <w:tcPr/>
          <w:p>
            <w:pPr>
              <w:pStyle w:val="Compact"/>
            </w:pPr>
            <w:r>
              <w:t xml:space="preserve">Control</w:t>
            </w:r>
          </w:p>
        </w:tc>
        <w:tc>
          <w:tcPr/>
          <w:p>
            <w:pPr>
              <w:pStyle w:val="Compact"/>
            </w:pPr>
            <w:r>
              <w:t xml:space="preserve">28.2</w:t>
            </w:r>
          </w:p>
        </w:tc>
        <w:tc>
          <w:tcPr/>
          <w:p>
            <w:pPr>
              <w:pStyle w:val="Compact"/>
            </w:pPr>
            <w:r>
              <w:t xml:space="preserve">21.6</w:t>
            </w:r>
          </w:p>
        </w:tc>
        <w:tc>
          <w:tcPr/>
          <w:p>
            <w:pPr>
              <w:pStyle w:val="Compact"/>
            </w:pPr>
            <w:r>
              <w:t xml:space="preserve">19.9</w:t>
            </w:r>
          </w:p>
        </w:tc>
        <w:tc>
          <w:tcPr/>
          <w:p>
            <w:pPr>
              <w:pStyle w:val="Compact"/>
            </w:pPr>
            <w:r>
              <w:t xml:space="preserve">-</w:t>
            </w:r>
          </w:p>
        </w:tc>
      </w:tr>
    </w:tbl>
    <w:bookmarkEnd w:id="134"/>
    <w:bookmarkEnd w:id="135"/>
    <w:p>
      <w:pPr>
        <w:pStyle w:val="FigureNote"/>
      </w:pPr>
      <w:r>
        <w:rPr>
          <w:i/>
          <w:iCs/>
        </w:rPr>
        <w:t xml:space="preserve">Note</w:t>
      </w:r>
      <w:r>
        <w:t xml:space="preserve">. Demographics were not provided in the dataset Ward 2</w:t>
      </w:r>
    </w:p>
    <w:p>
      <w:r>
        <w:br w:type="page"/>
      </w:r>
    </w:p>
    <w:bookmarkStart w:id="136" w:name="tbl-mytb2"/>
    <w:p>
      <w:pPr>
        <w:pStyle w:val="FigureTitle"/>
      </w:pPr>
      <w:r>
        <w:t xml:space="preserve">Table 2</w:t>
      </w:r>
    </w:p>
    <w:p>
      <w:pPr>
        <w:pStyle w:val="Caption"/>
      </w:pPr>
      <w:r>
        <w:t xml:space="preserve">Summary of data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right"/>
            </w:pPr>
            <w:r>
              <w:t xml:space="preserve">Controls</w:t>
            </w:r>
          </w:p>
        </w:tc>
        <w:tc>
          <w:tcPr/>
          <w:p>
            <w:pPr>
              <w:pStyle w:val="Compact"/>
              <w:jc w:val="right"/>
            </w:pPr>
            <w:r>
              <w:t xml:space="preserve">Sequence-Space Synesthetes</w:t>
            </w:r>
          </w:p>
        </w:tc>
      </w:tr>
      <w:tr>
        <w:tc>
          <w:tcPr/>
          <w:p>
            <w:pPr>
              <w:pStyle w:val="Compact"/>
              <w:jc w:val="left"/>
            </w:pPr>
            <w:r>
              <w:t xml:space="preserve">PeterCor</w:t>
            </w:r>
          </w:p>
        </w:tc>
        <w:tc>
          <w:tcPr/>
          <w:p>
            <w:pPr>
              <w:pStyle w:val="Compact"/>
              <w:jc w:val="right"/>
            </w:pPr>
            <w:r>
              <w:t xml:space="preserve">21</w:t>
            </w:r>
          </w:p>
        </w:tc>
        <w:tc>
          <w:tcPr/>
          <w:p>
            <w:pPr>
              <w:pStyle w:val="Compact"/>
              <w:jc w:val="right"/>
            </w:pPr>
            <w:r>
              <w:t xml:space="preserve">22</w:t>
            </w:r>
          </w:p>
        </w:tc>
      </w:tr>
      <w:tr>
        <w:tc>
          <w:tcPr/>
          <w:p>
            <w:pPr>
              <w:pStyle w:val="Compact"/>
              <w:jc w:val="left"/>
            </w:pPr>
            <w:r>
              <w:t xml:space="preserve">Rothen</w:t>
            </w:r>
          </w:p>
        </w:tc>
        <w:tc>
          <w:tcPr/>
          <w:p>
            <w:pPr>
              <w:pStyle w:val="Compact"/>
              <w:jc w:val="right"/>
            </w:pPr>
            <w:r>
              <w:t xml:space="preserve">37</w:t>
            </w:r>
          </w:p>
        </w:tc>
        <w:tc>
          <w:tcPr/>
          <w:p>
            <w:pPr>
              <w:pStyle w:val="Compact"/>
              <w:jc w:val="right"/>
            </w:pPr>
            <w:r>
              <w:t xml:space="preserve">32</w:t>
            </w:r>
          </w:p>
        </w:tc>
      </w:tr>
      <w:tr>
        <w:tc>
          <w:tcPr/>
          <w:p>
            <w:pPr>
              <w:pStyle w:val="Compact"/>
              <w:jc w:val="left"/>
            </w:pPr>
            <w:r>
              <w:t xml:space="preserve">Ward</w:t>
            </w:r>
          </w:p>
        </w:tc>
        <w:tc>
          <w:tcPr/>
          <w:p>
            <w:pPr>
              <w:pStyle w:val="Compact"/>
              <w:jc w:val="right"/>
            </w:pPr>
            <w:r>
              <w:t xml:space="preserve">213</w:t>
            </w:r>
          </w:p>
        </w:tc>
        <w:tc>
          <w:tcPr/>
          <w:p>
            <w:pPr>
              <w:pStyle w:val="Compact"/>
              <w:jc w:val="right"/>
            </w:pPr>
            <w:r>
              <w:t xml:space="preserve">252</w:t>
            </w:r>
          </w:p>
        </w:tc>
      </w:tr>
      <w:tr>
        <w:tc>
          <w:tcPr/>
          <w:p>
            <w:pPr>
              <w:pStyle w:val="Compact"/>
              <w:jc w:val="left"/>
            </w:pPr>
            <w:r>
              <w:t xml:space="preserve">Ward2</w:t>
            </w:r>
          </w:p>
        </w:tc>
        <w:tc>
          <w:tcPr/>
          <w:p>
            <w:pPr>
              <w:pStyle w:val="Compact"/>
              <w:jc w:val="right"/>
            </w:pPr>
            <w:r>
              <w:t xml:space="preserve">18</w:t>
            </w:r>
          </w:p>
        </w:tc>
        <w:tc>
          <w:tcPr/>
          <w:p>
            <w:pPr>
              <w:pStyle w:val="Compact"/>
              <w:jc w:val="right"/>
            </w:pPr>
            <w:r>
              <w:t xml:space="preserve">90</w:t>
            </w:r>
          </w:p>
        </w:tc>
      </w:tr>
    </w:tbl>
    <w:bookmarkEnd w:id="136"/>
    <w:p>
      <w:pPr>
        <w:pStyle w:val="FigureNote"/>
      </w:pPr>
      <w:r>
        <w:rPr>
          <w:i/>
          <w:iCs/>
        </w:rPr>
        <w:t xml:space="preserve">Note</w:t>
      </w:r>
      <w:r>
        <w:t xml:space="preserve">. Number of participants for each data source by initial classification</w:t>
      </w:r>
    </w:p>
    <w:p>
      <w:r>
        <w:br w:type="page"/>
      </w:r>
    </w:p>
    <w:bookmarkStart w:id="137" w:name="tbl-mytb3"/>
    <w:p>
      <w:pPr>
        <w:pStyle w:val="FigureTitle"/>
      </w:pPr>
      <w:r>
        <w:t xml:space="preserve">Table 3</w:t>
      </w:r>
    </w:p>
    <w:p>
      <w:pPr>
        <w:pStyle w:val="Caption"/>
      </w:pPr>
      <w:r>
        <w:t xml:space="preserve">Summary of ROC analysis</w:t>
      </w:r>
    </w:p>
    <w:p>
      <w:pPr>
        <w:pStyle w:val="TableCaption"/>
      </w:pPr>
      <w:r>
        <w:t xml:space="preserve">(#tab:tbl-mytb3)</w:t>
      </w:r>
    </w:p>
    <w:tbl>
      <w:tblPr>
        <w:tblStyle w:val="Table"/>
        <w:tblW w:type="auto" w:w="0"/>
        <w:tblLook w:firstRow="1" w:lastRow="0" w:firstColumn="0" w:lastColumn="0" w:noHBand="0" w:noVBand="0" w:val="0020"/>
        <w:tblCaption w:val="(#tab:tbl-mytb3)"/>
      </w:tblPr>
      <w:tblGrid>
        <w:gridCol w:w="1320"/>
        <w:gridCol w:w="1320"/>
        <w:gridCol w:w="1320"/>
        <w:gridCol w:w="1320"/>
        <w:gridCol w:w="1320"/>
        <w:gridCol w:w="1320"/>
      </w:tblGrid>
      <w:tr>
        <w:trPr>
          <w:tblHeader w:val="on"/>
        </w:trPr>
        <w:tc>
          <w:tcPr/>
          <w:p>
            <w:pPr>
              <w:pStyle w:val="Compact"/>
              <w:jc w:val="left"/>
            </w:pPr>
            <w:r>
              <w:t xml:space="preserve">Feature</w:t>
            </w:r>
          </w:p>
        </w:tc>
        <w:tc>
          <w:tcPr/>
          <w:p>
            <w:pPr>
              <w:pStyle w:val="Compact"/>
              <w:jc w:val="left"/>
            </w:pPr>
            <w:r>
              <w:t xml:space="preserve">AUC</w:t>
            </w:r>
          </w:p>
        </w:tc>
        <w:tc>
          <w:tcPr/>
          <w:p>
            <w:pPr>
              <w:pStyle w:val="Compact"/>
              <w:jc w:val="left"/>
            </w:pPr>
            <w:r>
              <w:t xml:space="preserve">DP</w:t>
            </w:r>
          </w:p>
        </w:tc>
        <w:tc>
          <w:tcPr/>
          <w:p>
            <w:pPr>
              <w:pStyle w:val="Compact"/>
              <w:jc w:val="left"/>
            </w:pPr>
            <w:r>
              <w:t xml:space="preserve">threshold</w:t>
            </w:r>
          </w:p>
        </w:tc>
        <w:tc>
          <w:tcPr/>
          <w:p>
            <w:pPr>
              <w:pStyle w:val="Compact"/>
              <w:jc w:val="left"/>
            </w:pPr>
            <w:r>
              <w:t xml:space="preserve">sensitivity</w:t>
            </w:r>
          </w:p>
        </w:tc>
        <w:tc>
          <w:tcPr/>
          <w:p>
            <w:pPr>
              <w:pStyle w:val="Compact"/>
              <w:jc w:val="left"/>
            </w:pPr>
            <w:r>
              <w:t xml:space="preserve">specificity</w:t>
            </w:r>
          </w:p>
        </w:tc>
      </w:tr>
      <w:tr>
        <w:tc>
          <w:tcPr/>
          <w:p>
            <w:pPr>
              <w:pStyle w:val="Compact"/>
              <w:jc w:val="left"/>
            </w:pPr>
            <w:r>
              <w:t xml:space="preserve">Permuted valid structure [mean binary/9]</w:t>
            </w:r>
          </w:p>
        </w:tc>
        <w:tc>
          <w:tcPr/>
          <w:p>
            <w:pPr>
              <w:pStyle w:val="Compact"/>
              <w:jc w:val="left"/>
            </w:pPr>
            <w:r>
              <w:t xml:space="preserve">80.09</w:t>
            </w:r>
          </w:p>
        </w:tc>
        <w:tc>
          <w:tcPr/>
          <w:p>
            <w:pPr>
              <w:pStyle w:val="Compact"/>
              <w:jc w:val="left"/>
            </w:pPr>
            <w:r>
              <w:t xml:space="preserve">2.06</w:t>
            </w:r>
          </w:p>
        </w:tc>
        <w:tc>
          <w:tcPr/>
          <w:p>
            <w:pPr>
              <w:pStyle w:val="Compact"/>
              <w:jc w:val="left"/>
            </w:pPr>
            <w:r>
              <w:t xml:space="preserve">0.17</w:t>
            </w:r>
          </w:p>
        </w:tc>
        <w:tc>
          <w:tcPr/>
          <w:p>
            <w:pPr>
              <w:pStyle w:val="Compact"/>
              <w:jc w:val="left"/>
            </w:pPr>
            <w:r>
              <w:t xml:space="preserve">70.40</w:t>
            </w:r>
          </w:p>
        </w:tc>
        <w:tc>
          <w:tcPr/>
          <w:p>
            <w:pPr>
              <w:pStyle w:val="Compact"/>
              <w:jc w:val="left"/>
            </w:pPr>
            <w:r>
              <w:t xml:space="preserve">77.50</w:t>
            </w:r>
          </w:p>
        </w:tc>
      </w:tr>
      <w:tr>
        <w:tc>
          <w:tcPr/>
          <w:p>
            <w:pPr>
              <w:pStyle w:val="Compact"/>
              <w:jc w:val="left"/>
            </w:pPr>
            <w:r>
              <w:t xml:space="preserve">Perimeter [z-score]</w:t>
            </w:r>
          </w:p>
        </w:tc>
        <w:tc>
          <w:tcPr/>
          <w:p>
            <w:pPr>
              <w:pStyle w:val="Compact"/>
              <w:jc w:val="left"/>
            </w:pPr>
            <w:r>
              <w:t xml:space="preserve">78.50</w:t>
            </w:r>
          </w:p>
        </w:tc>
        <w:tc>
          <w:tcPr/>
          <w:p>
            <w:pPr>
              <w:pStyle w:val="Compact"/>
              <w:jc w:val="left"/>
            </w:pPr>
            <w:r>
              <w:t xml:space="preserve">2.04</w:t>
            </w:r>
          </w:p>
        </w:tc>
        <w:tc>
          <w:tcPr/>
          <w:p>
            <w:pPr>
              <w:pStyle w:val="Compact"/>
              <w:jc w:val="left"/>
            </w:pPr>
            <w:r>
              <w:t xml:space="preserve">1.92</w:t>
            </w:r>
          </w:p>
        </w:tc>
        <w:tc>
          <w:tcPr/>
          <w:p>
            <w:pPr>
              <w:pStyle w:val="Compact"/>
              <w:jc w:val="left"/>
            </w:pPr>
            <w:r>
              <w:t xml:space="preserve">73.60</w:t>
            </w:r>
          </w:p>
        </w:tc>
        <w:tc>
          <w:tcPr/>
          <w:p>
            <w:pPr>
              <w:pStyle w:val="Compact"/>
              <w:jc w:val="left"/>
            </w:pPr>
            <w:r>
              <w:t xml:space="preserve">74.29</w:t>
            </w:r>
          </w:p>
        </w:tc>
      </w:tr>
      <w:tr>
        <w:tc>
          <w:tcPr/>
          <w:p>
            <w:pPr>
              <w:pStyle w:val="Compact"/>
              <w:jc w:val="left"/>
            </w:pPr>
            <w:r>
              <w:t xml:space="preserve">Valid structure [mean binary/9]</w:t>
            </w:r>
          </w:p>
        </w:tc>
        <w:tc>
          <w:tcPr/>
          <w:p>
            <w:pPr>
              <w:pStyle w:val="Compact"/>
              <w:jc w:val="left"/>
            </w:pPr>
            <w:r>
              <w:t xml:space="preserve">77.07</w:t>
            </w:r>
          </w:p>
        </w:tc>
        <w:tc>
          <w:tcPr/>
          <w:p>
            <w:pPr>
              <w:pStyle w:val="Compact"/>
              <w:jc w:val="left"/>
            </w:pPr>
            <w:r>
              <w:t xml:space="preserve">1.81</w:t>
            </w:r>
          </w:p>
        </w:tc>
        <w:tc>
          <w:tcPr/>
          <w:p>
            <w:pPr>
              <w:pStyle w:val="Compact"/>
              <w:jc w:val="left"/>
            </w:pPr>
            <w:r>
              <w:t xml:space="preserve">0.17</w:t>
            </w:r>
          </w:p>
        </w:tc>
        <w:tc>
          <w:tcPr/>
          <w:p>
            <w:pPr>
              <w:pStyle w:val="Compact"/>
              <w:jc w:val="left"/>
            </w:pPr>
            <w:r>
              <w:t xml:space="preserve">71.73</w:t>
            </w:r>
          </w:p>
        </w:tc>
        <w:tc>
          <w:tcPr/>
          <w:p>
            <w:pPr>
              <w:pStyle w:val="Compact"/>
              <w:jc w:val="left"/>
            </w:pPr>
            <w:r>
              <w:t xml:space="preserve">71.43</w:t>
            </w:r>
          </w:p>
        </w:tc>
      </w:tr>
      <w:tr>
        <w:tc>
          <w:tcPr/>
          <w:p>
            <w:pPr>
              <w:pStyle w:val="Compact"/>
              <w:jc w:val="left"/>
            </w:pPr>
            <w:r>
              <w:t xml:space="preserve">Segment self-intersections [n/9]</w:t>
            </w:r>
          </w:p>
        </w:tc>
        <w:tc>
          <w:tcPr/>
          <w:p>
            <w:pPr>
              <w:pStyle w:val="Compact"/>
              <w:jc w:val="left"/>
            </w:pPr>
            <w:r>
              <w:t xml:space="preserve">71.71</w:t>
            </w:r>
          </w:p>
        </w:tc>
        <w:tc>
          <w:tcPr/>
          <w:p>
            <w:pPr>
              <w:pStyle w:val="Compact"/>
              <w:jc w:val="left"/>
            </w:pPr>
            <w:r>
              <w:t xml:space="preserve">1.68</w:t>
            </w:r>
          </w:p>
        </w:tc>
        <w:tc>
          <w:tcPr/>
          <w:p>
            <w:pPr>
              <w:pStyle w:val="Compact"/>
              <w:jc w:val="left"/>
            </w:pPr>
            <w:r>
              <w:t xml:space="preserve">1.17</w:t>
            </w:r>
          </w:p>
        </w:tc>
        <w:tc>
          <w:tcPr/>
          <w:p>
            <w:pPr>
              <w:pStyle w:val="Compact"/>
              <w:jc w:val="left"/>
            </w:pPr>
            <w:r>
              <w:t xml:space="preserve">79.47</w:t>
            </w:r>
          </w:p>
        </w:tc>
        <w:tc>
          <w:tcPr/>
          <w:p>
            <w:pPr>
              <w:pStyle w:val="Compact"/>
              <w:jc w:val="left"/>
            </w:pPr>
            <w:r>
              <w:t xml:space="preserve">58.93</w:t>
            </w:r>
          </w:p>
        </w:tc>
      </w:tr>
      <w:tr>
        <w:tc>
          <w:tcPr/>
          <w:p>
            <w:pPr>
              <w:pStyle w:val="Compact"/>
              <w:jc w:val="left"/>
            </w:pPr>
            <w:r>
              <w:t xml:space="preserve">Area of the polygon [z-score]</w:t>
            </w:r>
          </w:p>
        </w:tc>
        <w:tc>
          <w:tcPr/>
          <w:p>
            <w:pPr>
              <w:pStyle w:val="Compact"/>
              <w:jc w:val="left"/>
            </w:pPr>
            <w:r>
              <w:t xml:space="preserve">70.96</w:t>
            </w:r>
          </w:p>
        </w:tc>
        <w:tc>
          <w:tcPr/>
          <w:p>
            <w:pPr>
              <w:pStyle w:val="Compact"/>
              <w:jc w:val="left"/>
            </w:pPr>
            <w:r>
              <w:t xml:space="preserve">1.30</w:t>
            </w:r>
          </w:p>
        </w:tc>
        <w:tc>
          <w:tcPr/>
          <w:p>
            <w:pPr>
              <w:pStyle w:val="Compact"/>
              <w:jc w:val="left"/>
            </w:pPr>
            <w:r>
              <w:t xml:space="preserve">1.29</w:t>
            </w:r>
          </w:p>
        </w:tc>
        <w:tc>
          <w:tcPr/>
          <w:p>
            <w:pPr>
              <w:pStyle w:val="Compact"/>
              <w:jc w:val="left"/>
            </w:pPr>
            <w:r>
              <w:t xml:space="preserve">64.53</w:t>
            </w:r>
          </w:p>
        </w:tc>
        <w:tc>
          <w:tcPr/>
          <w:p>
            <w:pPr>
              <w:pStyle w:val="Compact"/>
              <w:jc w:val="left"/>
            </w:pPr>
            <w:r>
              <w:t xml:space="preserve">67.50</w:t>
            </w:r>
          </w:p>
        </w:tc>
      </w:tr>
      <w:tr>
        <w:tc>
          <w:tcPr/>
          <w:p>
            <w:pPr>
              <w:pStyle w:val="Compact"/>
              <w:jc w:val="left"/>
            </w:pPr>
            <w:r>
              <w:t xml:space="preserve">Area [z-score]</w:t>
            </w:r>
          </w:p>
        </w:tc>
        <w:tc>
          <w:tcPr/>
          <w:p>
            <w:pPr>
              <w:pStyle w:val="Compact"/>
              <w:jc w:val="left"/>
            </w:pPr>
            <w:r>
              <w:t xml:space="preserve">70.94</w:t>
            </w:r>
          </w:p>
        </w:tc>
        <w:tc>
          <w:tcPr/>
          <w:p>
            <w:pPr>
              <w:pStyle w:val="Compact"/>
              <w:jc w:val="left"/>
            </w:pPr>
            <w:r>
              <w:t xml:space="preserve">1.72</w:t>
            </w:r>
          </w:p>
        </w:tc>
        <w:tc>
          <w:tcPr/>
          <w:p>
            <w:pPr>
              <w:pStyle w:val="Compact"/>
              <w:jc w:val="left"/>
            </w:pPr>
            <w:r>
              <w:t xml:space="preserve">0.08</w:t>
            </w:r>
          </w:p>
        </w:tc>
        <w:tc>
          <w:tcPr/>
          <w:p>
            <w:pPr>
              <w:pStyle w:val="Compact"/>
              <w:jc w:val="left"/>
            </w:pPr>
            <w:r>
              <w:t xml:space="preserve">75.47</w:t>
            </w:r>
          </w:p>
        </w:tc>
        <w:tc>
          <w:tcPr/>
          <w:p>
            <w:pPr>
              <w:pStyle w:val="Compact"/>
              <w:jc w:val="left"/>
            </w:pPr>
            <w:r>
              <w:t xml:space="preserve">65.36</w:t>
            </w:r>
          </w:p>
        </w:tc>
      </w:tr>
      <w:tr>
        <w:tc>
          <w:tcPr/>
          <w:p>
            <w:pPr>
              <w:pStyle w:val="Compact"/>
              <w:jc w:val="left"/>
            </w:pPr>
            <w:r>
              <w:t xml:space="preserve">Simple topology [mean binary/9]</w:t>
            </w:r>
          </w:p>
        </w:tc>
        <w:tc>
          <w:tcPr/>
          <w:p>
            <w:pPr>
              <w:pStyle w:val="Compact"/>
              <w:jc w:val="left"/>
            </w:pPr>
            <w:r>
              <w:t xml:space="preserve">69.91</w:t>
            </w:r>
          </w:p>
        </w:tc>
        <w:tc>
          <w:tcPr/>
          <w:p>
            <w:pPr>
              <w:pStyle w:val="Compact"/>
              <w:jc w:val="left"/>
            </w:pPr>
            <w:r>
              <w:t xml:space="preserve">1.26</w:t>
            </w:r>
          </w:p>
        </w:tc>
        <w:tc>
          <w:tcPr/>
          <w:p>
            <w:pPr>
              <w:pStyle w:val="Compact"/>
              <w:jc w:val="left"/>
            </w:pPr>
            <w:r>
              <w:t xml:space="preserve">0.28</w:t>
            </w:r>
          </w:p>
        </w:tc>
        <w:tc>
          <w:tcPr/>
          <w:p>
            <w:pPr>
              <w:pStyle w:val="Compact"/>
              <w:jc w:val="left"/>
            </w:pPr>
            <w:r>
              <w:t xml:space="preserve">60.53</w:t>
            </w:r>
          </w:p>
        </w:tc>
        <w:tc>
          <w:tcPr/>
          <w:p>
            <w:pPr>
              <w:pStyle w:val="Compact"/>
              <w:jc w:val="left"/>
            </w:pPr>
            <w:r>
              <w:t xml:space="preserve">70.36</w:t>
            </w:r>
          </w:p>
        </w:tc>
      </w:tr>
      <w:tr>
        <w:tc>
          <w:tcPr/>
          <w:p>
            <w:pPr>
              <w:pStyle w:val="Compact"/>
              <w:jc w:val="left"/>
            </w:pPr>
            <w:r>
              <w:t xml:space="preserve">Permuted Chance level [z-score]</w:t>
            </w:r>
          </w:p>
        </w:tc>
        <w:tc>
          <w:tcPr/>
          <w:p>
            <w:pPr>
              <w:pStyle w:val="Compact"/>
              <w:jc w:val="left"/>
            </w:pPr>
            <w:r>
              <w:t xml:space="preserve">65.80</w:t>
            </w:r>
          </w:p>
        </w:tc>
        <w:tc>
          <w:tcPr/>
          <w:p>
            <w:pPr>
              <w:pStyle w:val="Compact"/>
              <w:jc w:val="left"/>
            </w:pPr>
            <w:r>
              <w:t xml:space="preserve">2.18</w:t>
            </w:r>
          </w:p>
        </w:tc>
        <w:tc>
          <w:tcPr/>
          <w:p>
            <w:pPr>
              <w:pStyle w:val="Compact"/>
              <w:jc w:val="left"/>
            </w:pPr>
            <w:r>
              <w:t xml:space="preserve">-3.67</w:t>
            </w:r>
          </w:p>
        </w:tc>
        <w:tc>
          <w:tcPr/>
          <w:p>
            <w:pPr>
              <w:pStyle w:val="Compact"/>
              <w:jc w:val="left"/>
            </w:pPr>
            <w:r>
              <w:t xml:space="preserve">93.87</w:t>
            </w:r>
          </w:p>
        </w:tc>
        <w:tc>
          <w:tcPr/>
          <w:p>
            <w:pPr>
              <w:pStyle w:val="Compact"/>
              <w:jc w:val="left"/>
            </w:pPr>
            <w:r>
              <w:t xml:space="preserve">37.86</w:t>
            </w:r>
          </w:p>
        </w:tc>
      </w:tr>
      <w:tr>
        <w:tc>
          <w:tcPr/>
          <w:p>
            <w:pPr>
              <w:pStyle w:val="Compact"/>
              <w:jc w:val="left"/>
            </w:pPr>
            <w:r>
              <w:t xml:space="preserve">Perimeter of the polygon [z-score]</w:t>
            </w:r>
          </w:p>
        </w:tc>
        <w:tc>
          <w:tcPr/>
          <w:p>
            <w:pPr>
              <w:pStyle w:val="Compact"/>
              <w:jc w:val="left"/>
            </w:pPr>
            <w:r>
              <w:t xml:space="preserve">60.65</w:t>
            </w:r>
          </w:p>
        </w:tc>
        <w:tc>
          <w:tcPr/>
          <w:p>
            <w:pPr>
              <w:pStyle w:val="Compact"/>
              <w:jc w:val="left"/>
            </w:pPr>
            <w:r>
              <w:t xml:space="preserve">1.32</w:t>
            </w:r>
          </w:p>
        </w:tc>
        <w:tc>
          <w:tcPr/>
          <w:p>
            <w:pPr>
              <w:pStyle w:val="Compact"/>
              <w:jc w:val="left"/>
            </w:pPr>
            <w:r>
              <w:t xml:space="preserve">10.46</w:t>
            </w:r>
          </w:p>
        </w:tc>
        <w:tc>
          <w:tcPr/>
          <w:p>
            <w:pPr>
              <w:pStyle w:val="Compact"/>
              <w:jc w:val="left"/>
            </w:pPr>
            <w:r>
              <w:t xml:space="preserve">83.47</w:t>
            </w:r>
          </w:p>
        </w:tc>
        <w:tc>
          <w:tcPr/>
          <w:p>
            <w:pPr>
              <w:pStyle w:val="Compact"/>
              <w:jc w:val="left"/>
            </w:pPr>
            <w:r>
              <w:t xml:space="preserve">43.21</w:t>
            </w:r>
          </w:p>
        </w:tc>
      </w:tr>
      <w:tr>
        <w:tc>
          <w:tcPr/>
          <w:p>
            <w:pPr>
              <w:pStyle w:val="Compact"/>
              <w:jc w:val="left"/>
            </w:pPr>
            <w:r>
              <w:t xml:space="preserve">Perimeter [screen size %]</w:t>
            </w:r>
          </w:p>
        </w:tc>
        <w:tc>
          <w:tcPr/>
          <w:p>
            <w:pPr>
              <w:pStyle w:val="Compact"/>
              <w:jc w:val="left"/>
            </w:pPr>
            <w:r>
              <w:t xml:space="preserve">56.31</w:t>
            </w:r>
          </w:p>
        </w:tc>
        <w:tc>
          <w:tcPr/>
          <w:p>
            <w:pPr>
              <w:pStyle w:val="Compact"/>
              <w:jc w:val="left"/>
            </w:pPr>
            <w:r>
              <w:t xml:space="preserve">0.69</w:t>
            </w:r>
          </w:p>
        </w:tc>
        <w:tc>
          <w:tcPr/>
          <w:p>
            <w:pPr>
              <w:pStyle w:val="Compact"/>
              <w:jc w:val="left"/>
            </w:pPr>
            <w:r>
              <w:t xml:space="preserve">0.03</w:t>
            </w:r>
          </w:p>
        </w:tc>
        <w:tc>
          <w:tcPr/>
          <w:p>
            <w:pPr>
              <w:pStyle w:val="Compact"/>
              <w:jc w:val="left"/>
            </w:pPr>
            <w:r>
              <w:t xml:space="preserve">75.20</w:t>
            </w:r>
          </w:p>
        </w:tc>
        <w:tc>
          <w:tcPr/>
          <w:p>
            <w:pPr>
              <w:pStyle w:val="Compact"/>
              <w:jc w:val="left"/>
            </w:pPr>
            <w:r>
              <w:t xml:space="preserve">40.00</w:t>
            </w:r>
          </w:p>
        </w:tc>
      </w:tr>
      <w:tr>
        <w:tc>
          <w:tcPr/>
          <w:p>
            <w:pPr>
              <w:pStyle w:val="Compact"/>
              <w:jc w:val="left"/>
            </w:pPr>
            <w:r>
              <w:t xml:space="preserve">Correlation between coordinates [r]</w:t>
            </w:r>
          </w:p>
        </w:tc>
        <w:tc>
          <w:tcPr/>
          <w:p>
            <w:pPr>
              <w:pStyle w:val="Compact"/>
              <w:jc w:val="left"/>
            </w:pPr>
            <w:r>
              <w:t xml:space="preserve">55.85</w:t>
            </w:r>
          </w:p>
        </w:tc>
        <w:tc>
          <w:tcPr/>
          <w:p>
            <w:pPr>
              <w:pStyle w:val="Compact"/>
              <w:jc w:val="left"/>
            </w:pPr>
            <w:r>
              <w:t xml:space="preserve">1.54</w:t>
            </w:r>
          </w:p>
        </w:tc>
        <w:tc>
          <w:tcPr/>
          <w:p>
            <w:pPr>
              <w:pStyle w:val="Compact"/>
              <w:jc w:val="left"/>
            </w:pPr>
            <w:r>
              <w:t xml:space="preserve">0.67</w:t>
            </w:r>
          </w:p>
        </w:tc>
        <w:tc>
          <w:tcPr/>
          <w:p>
            <w:pPr>
              <w:pStyle w:val="Compact"/>
              <w:jc w:val="left"/>
            </w:pPr>
            <w:r>
              <w:t xml:space="preserve">95.20</w:t>
            </w:r>
          </w:p>
        </w:tc>
        <w:tc>
          <w:tcPr/>
          <w:p>
            <w:pPr>
              <w:pStyle w:val="Compact"/>
              <w:jc w:val="left"/>
            </w:pPr>
            <w:r>
              <w:t xml:space="preserve">19.64</w:t>
            </w:r>
          </w:p>
        </w:tc>
      </w:tr>
      <w:tr>
        <w:tc>
          <w:tcPr/>
          <w:p>
            <w:pPr>
              <w:pStyle w:val="Compact"/>
              <w:jc w:val="left"/>
            </w:pPr>
            <w:r>
              <w:t xml:space="preserve">Area [screen size %]</w:t>
            </w:r>
          </w:p>
        </w:tc>
        <w:tc>
          <w:tcPr/>
          <w:p>
            <w:pPr>
              <w:pStyle w:val="Compact"/>
              <w:jc w:val="left"/>
            </w:pPr>
            <w:r>
              <w:t xml:space="preserve">51.93</w:t>
            </w:r>
          </w:p>
        </w:tc>
        <w:tc>
          <w:tcPr/>
          <w:p>
            <w:pPr>
              <w:pStyle w:val="Compact"/>
              <w:jc w:val="left"/>
            </w:pPr>
            <w:r>
              <w:t xml:space="preserve">0.82</w:t>
            </w:r>
          </w:p>
        </w:tc>
        <w:tc>
          <w:tcPr/>
          <w:p>
            <w:pPr>
              <w:pStyle w:val="Compact"/>
              <w:jc w:val="left"/>
            </w:pPr>
            <w:r>
              <w:t xml:space="preserve">0.21</w:t>
            </w:r>
          </w:p>
        </w:tc>
        <w:tc>
          <w:tcPr/>
          <w:p>
            <w:pPr>
              <w:pStyle w:val="Compact"/>
              <w:jc w:val="left"/>
            </w:pPr>
            <w:r>
              <w:t xml:space="preserve">76.27</w:t>
            </w:r>
          </w:p>
        </w:tc>
        <w:tc>
          <w:tcPr/>
          <w:p>
            <w:pPr>
              <w:pStyle w:val="Compact"/>
              <w:jc w:val="left"/>
            </w:pPr>
            <w:r>
              <w:t xml:space="preserve">41.79</w:t>
            </w:r>
          </w:p>
        </w:tc>
      </w:tr>
    </w:tbl>
    <w:bookmarkEnd w:id="137"/>
    <w:p>
      <w:pPr>
        <w:pStyle w:val="FigureNote"/>
      </w:pPr>
      <w:r>
        <w:rPr>
          <w:i/>
          <w:iCs/>
        </w:rPr>
        <w:t xml:space="preserve">Note</w:t>
      </w:r>
      <w:r>
        <w:t xml:space="preserve">.</w:t>
      </w:r>
      <w:r>
        <w:t xml:space="preserve"> </w:t>
      </w:r>
      <w:r>
        <w:rPr>
          <w:i/>
          <w:iCs/>
        </w:rPr>
        <w:t xml:space="preserve">AUC</w:t>
      </w:r>
      <w:r>
        <w:t xml:space="preserve"> = Aurea Under the Curve.</w:t>
      </w:r>
      <w:r>
        <w:t xml:space="preserve"> </w:t>
      </w:r>
      <w:r>
        <w:rPr>
          <w:i/>
          <w:iCs/>
        </w:rPr>
        <w:t xml:space="preserve">DP</w:t>
      </w:r>
      <w:r>
        <w:t xml:space="preserve"> </w:t>
      </w:r>
      <w:r>
        <w:t xml:space="preserve">= Discrimination Power</w:t>
      </w:r>
    </w:p>
    <w:p>
      <w:r>
        <w:br w:type="page"/>
      </w:r>
    </w:p>
    <w:bookmarkStart w:id="138" w:name="tbl-mytb01"/>
    <w:p>
      <w:pPr>
        <w:pStyle w:val="FigureTitle"/>
      </w:pPr>
      <w:r>
        <w:t xml:space="preserve">Table 4</w:t>
      </w:r>
    </w:p>
    <w:p>
      <w:pPr>
        <w:pStyle w:val="Caption"/>
      </w:pPr>
      <w:r>
        <w:t xml:space="preserve">Descriptives of each features</w:t>
      </w:r>
    </w:p>
    <w:tbl>
      <w:tblPr>
        <w:tblStyle w:val="Table"/>
        <w:tblW w:type="pct" w:w="5000"/>
        <w:tblLayout w:type="fixed"/>
        <w:tblLook w:firstRow="1" w:lastRow="0" w:firstColumn="0" w:lastColumn="0" w:noHBand="0" w:noVBand="0" w:val="0020"/>
      </w:tblPr>
      <w:tblGrid>
        <w:gridCol w:w="3865"/>
        <w:gridCol w:w="1414"/>
        <w:gridCol w:w="2640"/>
      </w:tblGrid>
      <w:tr>
        <w:trPr>
          <w:tblHeader w:val="on"/>
        </w:trPr>
        <w:tc>
          <w:tcPr/>
          <w:p>
            <w:pPr>
              <w:pStyle w:val="Compact"/>
              <w:jc w:val="left"/>
            </w:pPr>
            <w:r>
              <w:t xml:space="preserve">Feature</w:t>
            </w:r>
          </w:p>
        </w:tc>
        <w:tc>
          <w:tcPr/>
          <w:p>
            <w:pPr>
              <w:pStyle w:val="Compact"/>
              <w:jc w:val="left"/>
            </w:pPr>
            <w:r>
              <w:t xml:space="preserve">Controls</w:t>
            </w:r>
          </w:p>
        </w:tc>
        <w:tc>
          <w:tcPr/>
          <w:p>
            <w:pPr>
              <w:pStyle w:val="Compact"/>
              <w:jc w:val="left"/>
            </w:pPr>
            <w:r>
              <w:t xml:space="preserve">Sequence-Space Synaesthetes</w:t>
            </w:r>
          </w:p>
        </w:tc>
      </w:tr>
      <w:tr>
        <w:tc>
          <w:tcPr/>
          <w:p>
            <w:pPr>
              <w:pStyle w:val="Compact"/>
              <w:jc w:val="left"/>
            </w:pPr>
            <w:r>
              <w:t xml:space="preserve">Permuted valid structure [mean binary/9]</w:t>
            </w:r>
          </w:p>
        </w:tc>
        <w:tc>
          <w:tcPr/>
          <w:p>
            <w:pPr>
              <w:pStyle w:val="Compact"/>
              <w:jc w:val="left"/>
            </w:pPr>
            <w:r>
              <w:t xml:space="preserve">0.12 (0.16)</w:t>
            </w:r>
          </w:p>
        </w:tc>
        <w:tc>
          <w:tcPr/>
          <w:p>
            <w:pPr>
              <w:pStyle w:val="Compact"/>
              <w:jc w:val="left"/>
            </w:pPr>
            <w:r>
              <w:t xml:space="preserve">0.35 (0.23)</w:t>
            </w:r>
          </w:p>
        </w:tc>
      </w:tr>
      <w:tr>
        <w:tc>
          <w:tcPr/>
          <w:p>
            <w:pPr>
              <w:pStyle w:val="Compact"/>
              <w:jc w:val="left"/>
            </w:pPr>
            <w:r>
              <w:t xml:space="preserve">Perimeter [z-score]</w:t>
            </w:r>
          </w:p>
        </w:tc>
        <w:tc>
          <w:tcPr/>
          <w:p>
            <w:pPr>
              <w:pStyle w:val="Compact"/>
              <w:jc w:val="left"/>
            </w:pPr>
            <w:r>
              <w:t xml:space="preserve">3.33 (1.72)</w:t>
            </w:r>
          </w:p>
        </w:tc>
        <w:tc>
          <w:tcPr/>
          <w:p>
            <w:pPr>
              <w:pStyle w:val="Compact"/>
              <w:jc w:val="left"/>
            </w:pPr>
            <w:r>
              <w:t xml:space="preserve">1.61 (1.17)</w:t>
            </w:r>
          </w:p>
        </w:tc>
      </w:tr>
      <w:tr>
        <w:tc>
          <w:tcPr/>
          <w:p>
            <w:pPr>
              <w:pStyle w:val="Compact"/>
              <w:jc w:val="left"/>
            </w:pPr>
            <w:r>
              <w:t xml:space="preserve">Valid structure [mean binary/9]</w:t>
            </w:r>
          </w:p>
        </w:tc>
        <w:tc>
          <w:tcPr/>
          <w:p>
            <w:pPr>
              <w:pStyle w:val="Compact"/>
              <w:jc w:val="left"/>
            </w:pPr>
            <w:r>
              <w:t xml:space="preserve">0.13 (0.19)</w:t>
            </w:r>
          </w:p>
        </w:tc>
        <w:tc>
          <w:tcPr/>
          <w:p>
            <w:pPr>
              <w:pStyle w:val="Compact"/>
              <w:jc w:val="left"/>
            </w:pPr>
            <w:r>
              <w:t xml:space="preserve">0.37 (0.26)</w:t>
            </w:r>
          </w:p>
        </w:tc>
      </w:tr>
      <w:tr>
        <w:tc>
          <w:tcPr/>
          <w:p>
            <w:pPr>
              <w:pStyle w:val="Compact"/>
              <w:jc w:val="left"/>
            </w:pPr>
            <w:r>
              <w:t xml:space="preserve">Segment self-intersections [n/9]</w:t>
            </w:r>
          </w:p>
        </w:tc>
        <w:tc>
          <w:tcPr/>
          <w:p>
            <w:pPr>
              <w:pStyle w:val="Compact"/>
              <w:jc w:val="left"/>
            </w:pPr>
            <w:r>
              <w:t xml:space="preserve">8.83 (10.45)</w:t>
            </w:r>
          </w:p>
        </w:tc>
        <w:tc>
          <w:tcPr/>
          <w:p>
            <w:pPr>
              <w:pStyle w:val="Compact"/>
              <w:jc w:val="left"/>
            </w:pPr>
            <w:r>
              <w:t xml:space="preserve">1.71 (4.69)</w:t>
            </w:r>
          </w:p>
        </w:tc>
      </w:tr>
      <w:tr>
        <w:tc>
          <w:tcPr/>
          <w:p>
            <w:pPr>
              <w:pStyle w:val="Compact"/>
              <w:jc w:val="left"/>
            </w:pPr>
            <w:r>
              <w:t xml:space="preserve">Area of the polygon [z-score]</w:t>
            </w:r>
          </w:p>
        </w:tc>
        <w:tc>
          <w:tcPr/>
          <w:p>
            <w:pPr>
              <w:pStyle w:val="Compact"/>
              <w:jc w:val="left"/>
            </w:pPr>
            <w:r>
              <w:t xml:space="preserve">1.03 (0.99)</w:t>
            </w:r>
          </w:p>
        </w:tc>
        <w:tc>
          <w:tcPr/>
          <w:p>
            <w:pPr>
              <w:pStyle w:val="Compact"/>
              <w:jc w:val="left"/>
            </w:pPr>
            <w:r>
              <w:t xml:space="preserve">1.86 (1.24)</w:t>
            </w:r>
          </w:p>
        </w:tc>
      </w:tr>
      <w:tr>
        <w:tc>
          <w:tcPr/>
          <w:p>
            <w:pPr>
              <w:pStyle w:val="Compact"/>
              <w:jc w:val="left"/>
            </w:pPr>
            <w:r>
              <w:t xml:space="preserve">Area [z-score]</w:t>
            </w:r>
          </w:p>
        </w:tc>
        <w:tc>
          <w:tcPr/>
          <w:p>
            <w:pPr>
              <w:pStyle w:val="Compact"/>
              <w:jc w:val="left"/>
            </w:pPr>
            <w:r>
              <w:t xml:space="preserve">0.27 (0.33)</w:t>
            </w:r>
          </w:p>
        </w:tc>
        <w:tc>
          <w:tcPr/>
          <w:p>
            <w:pPr>
              <w:pStyle w:val="Compact"/>
              <w:jc w:val="left"/>
            </w:pPr>
            <w:r>
              <w:t xml:space="preserve">0.08 (0.14)</w:t>
            </w:r>
          </w:p>
        </w:tc>
      </w:tr>
      <w:tr>
        <w:tc>
          <w:tcPr/>
          <w:p>
            <w:pPr>
              <w:pStyle w:val="Compact"/>
              <w:jc w:val="left"/>
            </w:pPr>
            <w:r>
              <w:t xml:space="preserve">Simple topology [mean binary/9]</w:t>
            </w:r>
          </w:p>
        </w:tc>
        <w:tc>
          <w:tcPr/>
          <w:p>
            <w:pPr>
              <w:pStyle w:val="Compact"/>
              <w:jc w:val="left"/>
            </w:pPr>
            <w:r>
              <w:t xml:space="preserve">0.21 (0.22)</w:t>
            </w:r>
          </w:p>
        </w:tc>
        <w:tc>
          <w:tcPr/>
          <w:p>
            <w:pPr>
              <w:pStyle w:val="Compact"/>
              <w:jc w:val="left"/>
            </w:pPr>
            <w:r>
              <w:t xml:space="preserve">0.38 (0.26)</w:t>
            </w:r>
          </w:p>
        </w:tc>
      </w:tr>
      <w:tr>
        <w:tc>
          <w:tcPr/>
          <w:p>
            <w:pPr>
              <w:pStyle w:val="Compact"/>
              <w:jc w:val="left"/>
            </w:pPr>
            <w:r>
              <w:t xml:space="preserve">Permuted Chance level [z-score]</w:t>
            </w:r>
          </w:p>
        </w:tc>
        <w:tc>
          <w:tcPr/>
          <w:p>
            <w:pPr>
              <w:pStyle w:val="Compact"/>
              <w:jc w:val="left"/>
            </w:pPr>
            <w:r>
              <w:t xml:space="preserve">99.79 (790.15)</w:t>
            </w:r>
          </w:p>
        </w:tc>
        <w:tc>
          <w:tcPr/>
          <w:p>
            <w:pPr>
              <w:pStyle w:val="Compact"/>
              <w:jc w:val="left"/>
            </w:pPr>
            <w:r>
              <w:t xml:space="preserve">14.27 (217.45)</w:t>
            </w:r>
          </w:p>
        </w:tc>
      </w:tr>
      <w:tr>
        <w:tc>
          <w:tcPr/>
          <w:p>
            <w:pPr>
              <w:pStyle w:val="Compact"/>
              <w:jc w:val="left"/>
            </w:pPr>
            <w:r>
              <w:t xml:space="preserve">Perimeter of the polygon [z-score]</w:t>
            </w:r>
          </w:p>
        </w:tc>
        <w:tc>
          <w:tcPr/>
          <w:p>
            <w:pPr>
              <w:pStyle w:val="Compact"/>
              <w:jc w:val="left"/>
            </w:pPr>
            <w:r>
              <w:t xml:space="preserve">9.61 (3.41)</w:t>
            </w:r>
          </w:p>
        </w:tc>
        <w:tc>
          <w:tcPr/>
          <w:p>
            <w:pPr>
              <w:pStyle w:val="Compact"/>
              <w:jc w:val="left"/>
            </w:pPr>
            <w:r>
              <w:t xml:space="preserve">8.39 (2.49)</w:t>
            </w:r>
          </w:p>
        </w:tc>
      </w:tr>
      <w:tr>
        <w:tc>
          <w:tcPr/>
          <w:p>
            <w:pPr>
              <w:pStyle w:val="Compact"/>
              <w:jc w:val="left"/>
            </w:pPr>
            <w:r>
              <w:t xml:space="preserve">Perimeter [screen size %]</w:t>
            </w:r>
          </w:p>
        </w:tc>
        <w:tc>
          <w:tcPr/>
          <w:p>
            <w:pPr>
              <w:pStyle w:val="Compact"/>
              <w:jc w:val="left"/>
            </w:pPr>
            <w:r>
              <w:t xml:space="preserve">0.03 (0.03)</w:t>
            </w:r>
          </w:p>
        </w:tc>
        <w:tc>
          <w:tcPr/>
          <w:p>
            <w:pPr>
              <w:pStyle w:val="Compact"/>
              <w:jc w:val="left"/>
            </w:pPr>
            <w:r>
              <w:t xml:space="preserve">0.03 (0.09)</w:t>
            </w:r>
          </w:p>
        </w:tc>
      </w:tr>
      <w:tr>
        <w:tc>
          <w:tcPr/>
          <w:p>
            <w:pPr>
              <w:pStyle w:val="Compact"/>
              <w:jc w:val="left"/>
            </w:pPr>
            <w:r>
              <w:t xml:space="preserve">Correlation between coordinates [r]</w:t>
            </w:r>
          </w:p>
        </w:tc>
        <w:tc>
          <w:tcPr/>
          <w:p>
            <w:pPr>
              <w:pStyle w:val="Compact"/>
              <w:jc w:val="left"/>
            </w:pPr>
            <w:r>
              <w:t xml:space="preserve">0.40 (0.27)</w:t>
            </w:r>
          </w:p>
        </w:tc>
        <w:tc>
          <w:tcPr/>
          <w:p>
            <w:pPr>
              <w:pStyle w:val="Compact"/>
              <w:jc w:val="left"/>
            </w:pPr>
            <w:r>
              <w:t xml:space="preserve">0.32 (0.19)</w:t>
            </w:r>
          </w:p>
        </w:tc>
      </w:tr>
      <w:tr>
        <w:tc>
          <w:tcPr/>
          <w:p>
            <w:pPr>
              <w:pStyle w:val="Compact"/>
              <w:jc w:val="left"/>
            </w:pPr>
            <w:r>
              <w:t xml:space="preserve">Area [screen size %]</w:t>
            </w:r>
          </w:p>
        </w:tc>
        <w:tc>
          <w:tcPr/>
          <w:p>
            <w:pPr>
              <w:pStyle w:val="Compact"/>
              <w:jc w:val="left"/>
            </w:pPr>
            <w:r>
              <w:t xml:space="preserve">0.47 (0.88)</w:t>
            </w:r>
          </w:p>
        </w:tc>
        <w:tc>
          <w:tcPr/>
          <w:p>
            <w:pPr>
              <w:pStyle w:val="Compact"/>
              <w:jc w:val="left"/>
            </w:pPr>
            <w:r>
              <w:t xml:space="preserve">0.26 (0.54)</w:t>
            </w:r>
          </w:p>
        </w:tc>
      </w:tr>
    </w:tbl>
    <w:bookmarkEnd w:id="138"/>
    <w:p>
      <w:r>
        <w:br w:type="page"/>
      </w:r>
    </w:p>
    <w:bookmarkStart w:id="142" w:name="fig-myplot1"/>
    <w:p>
      <w:pPr>
        <w:pStyle w:val="FigureTitle"/>
      </w:pPr>
      <w:r>
        <w:t xml:space="preserve">Figure 1</w:t>
      </w:r>
    </w:p>
    <w:p>
      <w:pPr>
        <w:pStyle w:val="Caption"/>
      </w:pPr>
      <w:r>
        <w:t xml:space="preserve">Venn diagram of the types of self-reported SSS</w:t>
      </w:r>
    </w:p>
    <w:p>
      <w:pPr>
        <w:pStyle w:val="FigureWithNote"/>
      </w:pPr>
      <w:r>
        <w:drawing>
          <wp:inline>
            <wp:extent cx="5943600" cy="5943600"/>
            <wp:effectExtent b="0" l="0" r="0" t="0"/>
            <wp:docPr descr="" title="" id="140" name="Picture"/>
            <a:graphic>
              <a:graphicData uri="http://schemas.openxmlformats.org/drawingml/2006/picture">
                <pic:pic>
                  <pic:nvPicPr>
                    <pic:cNvPr descr="2.Pre-registeredReport_MS1_RL_files/figure-docx/fig-myplot1-1.png" id="141" name="Picture"/>
                    <pic:cNvPicPr>
                      <a:picLocks noChangeArrowheads="1" noChangeAspect="1"/>
                    </pic:cNvPicPr>
                  </pic:nvPicPr>
                  <pic:blipFill>
                    <a:blip r:embed="rId139"/>
                    <a:stretch>
                      <a:fillRect/>
                    </a:stretch>
                  </pic:blipFill>
                  <pic:spPr bwMode="auto">
                    <a:xfrm>
                      <a:off x="0" y="0"/>
                      <a:ext cx="5943600" cy="5943600"/>
                    </a:xfrm>
                    <a:prstGeom prst="rect">
                      <a:avLst/>
                    </a:prstGeom>
                    <a:noFill/>
                    <a:ln w="9525">
                      <a:noFill/>
                      <a:headEnd/>
                      <a:tailEnd/>
                    </a:ln>
                  </pic:spPr>
                </pic:pic>
              </a:graphicData>
            </a:graphic>
          </wp:inline>
        </w:drawing>
      </w:r>
    </w:p>
    <w:bookmarkEnd w:id="142"/>
    <w:p>
      <w:pPr>
        <w:pStyle w:val="FigureNote"/>
      </w:pPr>
      <w:r>
        <w:rPr>
          <w:i/>
          <w:iCs/>
        </w:rPr>
        <w:t xml:space="preserve">Note</w:t>
      </w:r>
      <w:r>
        <w:t xml:space="preserve">. Only data from Pr. Ward is represented here. SSS = Sequence-space synaesthesia</w:t>
      </w:r>
    </w:p>
    <w:p>
      <w:r>
        <w:br w:type="page"/>
      </w:r>
    </w:p>
    <w:bookmarkStart w:id="146" w:name="fig-myplot2"/>
    <w:p>
      <w:pPr>
        <w:pStyle w:val="FigureTitle"/>
      </w:pPr>
      <w:r>
        <w:t xml:space="preserve">Figure 2</w:t>
      </w:r>
    </w:p>
    <w:p>
      <w:pPr>
        <w:pStyle w:val="Caption"/>
      </w:pPr>
      <w:r>
        <w:t xml:space="preserve">Receiver Operating Characteristic (ROC) curves of all features</w:t>
      </w:r>
    </w:p>
    <w:p>
      <w:pPr>
        <w:pStyle w:val="FigureWithNote"/>
      </w:pPr>
      <w:r>
        <w:drawing>
          <wp:inline>
            <wp:extent cx="5943600" cy="5943600"/>
            <wp:effectExtent b="0" l="0" r="0" t="0"/>
            <wp:docPr descr="" title="" id="144" name="Picture"/>
            <a:graphic>
              <a:graphicData uri="http://schemas.openxmlformats.org/drawingml/2006/picture">
                <pic:pic>
                  <pic:nvPicPr>
                    <pic:cNvPr descr="2.Pre-registeredReport_MS1_RL_files/figure-docx/fig-myplot2-1.png" id="145" name="Picture"/>
                    <pic:cNvPicPr>
                      <a:picLocks noChangeArrowheads="1" noChangeAspect="1"/>
                    </pic:cNvPicPr>
                  </pic:nvPicPr>
                  <pic:blipFill>
                    <a:blip r:embed="rId143"/>
                    <a:stretch>
                      <a:fillRect/>
                    </a:stretch>
                  </pic:blipFill>
                  <pic:spPr bwMode="auto">
                    <a:xfrm>
                      <a:off x="0" y="0"/>
                      <a:ext cx="5943600" cy="5943600"/>
                    </a:xfrm>
                    <a:prstGeom prst="rect">
                      <a:avLst/>
                    </a:prstGeom>
                    <a:noFill/>
                    <a:ln w="9525">
                      <a:noFill/>
                      <a:headEnd/>
                      <a:tailEnd/>
                    </a:ln>
                  </pic:spPr>
                </pic:pic>
              </a:graphicData>
            </a:graphic>
          </wp:inline>
        </w:drawing>
      </w:r>
    </w:p>
    <w:bookmarkEnd w:id="146"/>
    <w:p>
      <w:pPr>
        <w:pStyle w:val="FigureNote"/>
      </w:pPr>
      <w:r>
        <w:rPr>
          <w:i/>
          <w:iCs/>
        </w:rPr>
        <w:t xml:space="preserve">Note</w:t>
      </w:r>
      <w:r>
        <w:t xml:space="preserve">. Grey line indicates chance level</w:t>
      </w:r>
    </w:p>
    <w:p>
      <w:r>
        <w:br w:type="page"/>
      </w:r>
    </w:p>
    <w:bookmarkEnd w:id="147"/>
    <w:p>
      <w:pPr>
        <w:pStyle w:val="Heading1"/>
      </w:pPr>
      <w:r>
        <w:t xml:space="preserve">Appendix</w:t>
      </w:r>
    </w:p>
    <w:p>
      <w:r>
        <w:br w:type="page"/>
      </w:r>
    </w:p>
    <w:bookmarkStart w:id="199" w:name="apx-sec-supplementary-material-phase-i"/>
    <w:p>
      <w:pPr>
        <w:pStyle w:val="Heading1"/>
      </w:pPr>
      <w:r>
        <w:t xml:space="preserve">Appendix phase I</w:t>
      </w:r>
    </w:p>
    <w:p>
      <w:pPr>
        <w:pStyle w:val="FirstParagraph"/>
      </w:pPr>
      <w:r>
        <w:t xml:space="preserve">To additionally test the validity of the criteria, we computed the ROC</w:t>
      </w:r>
      <w:r>
        <w:t xml:space="preserve"> </w:t>
      </w:r>
      <w:r>
        <w:t xml:space="preserve">again by sub-sampling the groups based on the questionnaire scores so to</w:t>
      </w:r>
      <w:r>
        <w:t xml:space="preserve"> </w:t>
      </w:r>
      <w:r>
        <w:t xml:space="preserve">have more extreme groups. This was done only on the data from Ward,</w:t>
      </w:r>
      <w:r>
        <w:t xml:space="preserve"> </w:t>
      </w:r>
      <w:r>
        <w:t xml:space="preserve">since the other did not include a questionnaire in the data.</w:t>
      </w:r>
    </w:p>
    <w:bookmarkStart w:id="153" w:name="sec-sm1-feature-distributions"/>
    <w:p>
      <w:pPr>
        <w:pStyle w:val="Heading2"/>
      </w:pPr>
      <w:r>
        <w:t xml:space="preserve">Appendix 1 Feature distributions</w:t>
      </w:r>
    </w:p>
    <w:p>
      <w:pPr>
        <w:pStyle w:val="FirstParagraph"/>
      </w:pPr>
      <w:r>
        <w:t xml:space="preserve">Regarding the distributions of each features across the SSS vs.</w:t>
      </w:r>
      <w:r>
        <w:t xml:space="preserve"> </w:t>
      </w:r>
      <w:r>
        <w:t xml:space="preserve">controls,</w:t>
      </w:r>
      <w:r>
        <w:t xml:space="preserve"> </w:t>
      </w:r>
      <w:hyperlink w:anchor="fig-myplot3">
        <w:r>
          <w:rPr>
            <w:rStyle w:val="Hyperlink"/>
          </w:rPr>
          <w:t xml:space="preserve">Figure A1</w:t>
        </w:r>
      </w:hyperlink>
      <w:r>
        <w:t xml:space="preserve"> </w:t>
      </w:r>
      <w:r>
        <w:t xml:space="preserve">we compared the density plots of each</w:t>
      </w:r>
      <w:r>
        <w:t xml:space="preserve"> </w:t>
      </w:r>
      <w:r>
        <w:t xml:space="preserve">standardized criteria (in order to make them comparable) which visually</w:t>
      </w:r>
      <w:r>
        <w:t xml:space="preserve"> </w:t>
      </w:r>
      <w:r>
        <w:t xml:space="preserve">indicates a bimodal distribution. Median z-scores per group are also</w:t>
      </w:r>
      <w:r>
        <w:t xml:space="preserve"> </w:t>
      </w:r>
      <w:r>
        <w:t xml:space="preserve">presented in</w:t>
      </w:r>
      <w:r>
        <w:t xml:space="preserve"> </w:t>
      </w:r>
      <w:hyperlink w:anchor="tbl-mytb05">
        <w:r>
          <w:rPr>
            <w:rStyle w:val="Hyperlink"/>
          </w:rPr>
          <w:t xml:space="preserve">Table A1</w:t>
        </w:r>
      </w:hyperlink>
      <w:r>
        <w:t xml:space="preserve">.</w:t>
      </w:r>
    </w:p>
    <w:bookmarkStart w:id="151" w:name="fig-myplot3"/>
    <w:p>
      <w:pPr>
        <w:pStyle w:val="FigureTitle"/>
      </w:pPr>
      <w:r>
        <w:t xml:space="preserve">Figure A1</w:t>
      </w:r>
    </w:p>
    <w:p>
      <w:pPr>
        <w:pStyle w:val="Caption"/>
      </w:pPr>
      <w:r>
        <w:t xml:space="preserve">Density plots of all the features comparing SSS and controls</w:t>
      </w:r>
    </w:p>
    <w:p>
      <w:pPr>
        <w:pStyle w:val="FigureWithNote"/>
      </w:pPr>
      <w:r>
        <w:drawing>
          <wp:inline>
            <wp:extent cx="5943600" cy="5943600"/>
            <wp:effectExtent b="0" l="0" r="0" t="0"/>
            <wp:docPr descr="" title="" id="149" name="Picture"/>
            <a:graphic>
              <a:graphicData uri="http://schemas.openxmlformats.org/drawingml/2006/picture">
                <pic:pic>
                  <pic:nvPicPr>
                    <pic:cNvPr descr="2.Pre-registeredReport_MS1_RL_files/figure-docx/fig-myplot3-1.png" id="150" name="Picture"/>
                    <pic:cNvPicPr>
                      <a:picLocks noChangeArrowheads="1" noChangeAspect="1"/>
                    </pic:cNvPicPr>
                  </pic:nvPicPr>
                  <pic:blipFill>
                    <a:blip r:embed="rId148"/>
                    <a:stretch>
                      <a:fillRect/>
                    </a:stretch>
                  </pic:blipFill>
                  <pic:spPr bwMode="auto">
                    <a:xfrm>
                      <a:off x="0" y="0"/>
                      <a:ext cx="5943600" cy="5943600"/>
                    </a:xfrm>
                    <a:prstGeom prst="rect">
                      <a:avLst/>
                    </a:prstGeom>
                    <a:noFill/>
                    <a:ln w="9525">
                      <a:noFill/>
                      <a:headEnd/>
                      <a:tailEnd/>
                    </a:ln>
                  </pic:spPr>
                </pic:pic>
              </a:graphicData>
            </a:graphic>
          </wp:inline>
        </w:drawing>
      </w:r>
    </w:p>
    <w:bookmarkEnd w:id="151"/>
    <w:p>
      <w:pPr>
        <w:pStyle w:val="FigureNote"/>
      </w:pPr>
      <w:r>
        <w:rPr>
          <w:i/>
          <w:iCs/>
        </w:rPr>
        <w:t xml:space="preserve">Note</w:t>
      </w:r>
      <w:r>
        <w:t xml:space="preserve">. all feature’s score have been z-score transformed in order to be compared</w:t>
      </w:r>
    </w:p>
    <w:bookmarkStart w:id="152" w:name="tbl-mytb05"/>
    <w:p>
      <w:pPr>
        <w:pStyle w:val="FigureTitle"/>
      </w:pPr>
      <w:r>
        <w:t xml:space="preserve">Table A1</w:t>
      </w:r>
    </w:p>
    <w:p>
      <w:pPr>
        <w:pStyle w:val="Caption"/>
      </w:pPr>
      <w:r>
        <w:t xml:space="preserve">Median and SD of each standardized features</w:t>
      </w:r>
    </w:p>
    <w:p>
      <w:pPr>
        <w:pStyle w:val="TableCaption"/>
      </w:pPr>
      <w:r>
        <w:t xml:space="preserve">(#tab:tbl-mytb05)</w:t>
      </w:r>
    </w:p>
    <w:tbl>
      <w:tblPr>
        <w:tblStyle w:val="Table"/>
        <w:tblW w:type="auto" w:w="0"/>
        <w:tblLook w:firstRow="1" w:lastRow="0" w:firstColumn="0" w:lastColumn="0" w:noHBand="0" w:noVBand="0" w:val="0020"/>
        <w:tblCaption w:val="(#tab:tbl-mytb05)"/>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Permuted valid structure [mean binary/9]</w:t>
            </w:r>
          </w:p>
        </w:tc>
        <w:tc>
          <w:tcPr/>
          <w:p>
            <w:pPr>
              <w:pStyle w:val="Compact"/>
              <w:jc w:val="left"/>
            </w:pPr>
            <w:r>
              <w:t xml:space="preserve">Med = -0.82 (0.68)</w:t>
            </w:r>
          </w:p>
        </w:tc>
        <w:tc>
          <w:tcPr/>
          <w:p>
            <w:pPr>
              <w:pStyle w:val="Compact"/>
              <w:jc w:val="left"/>
            </w:pPr>
            <w:r>
              <w:t xml:space="preserve">Med = 0.35 (1.01)</w:t>
            </w:r>
          </w:p>
        </w:tc>
      </w:tr>
      <w:tr>
        <w:tc>
          <w:tcPr/>
          <w:p>
            <w:pPr>
              <w:pStyle w:val="Compact"/>
              <w:jc w:val="left"/>
            </w:pPr>
            <w:r>
              <w:t xml:space="preserve">Perimeter [z-score]</w:t>
            </w:r>
          </w:p>
        </w:tc>
        <w:tc>
          <w:tcPr/>
          <w:p>
            <w:pPr>
              <w:pStyle w:val="Compact"/>
              <w:jc w:val="left"/>
            </w:pPr>
            <w:r>
              <w:t xml:space="preserve">Med = 0.62 (1.03)</w:t>
            </w:r>
          </w:p>
        </w:tc>
        <w:tc>
          <w:tcPr/>
          <w:p>
            <w:pPr>
              <w:pStyle w:val="Compact"/>
              <w:jc w:val="left"/>
            </w:pPr>
            <w:r>
              <w:t xml:space="preserve">Med = -0.73 (0.70)</w:t>
            </w:r>
          </w:p>
        </w:tc>
      </w:tr>
      <w:tr>
        <w:tc>
          <w:tcPr/>
          <w:p>
            <w:pPr>
              <w:pStyle w:val="Compact"/>
              <w:jc w:val="left"/>
            </w:pPr>
            <w:r>
              <w:t xml:space="preserve">Valid structure [mean binary/9]</w:t>
            </w:r>
          </w:p>
        </w:tc>
        <w:tc>
          <w:tcPr/>
          <w:p>
            <w:pPr>
              <w:pStyle w:val="Compact"/>
              <w:jc w:val="left"/>
            </w:pPr>
            <w:r>
              <w:t xml:space="preserve">Med = -0.60 (0.72)</w:t>
            </w:r>
          </w:p>
        </w:tc>
        <w:tc>
          <w:tcPr/>
          <w:p>
            <w:pPr>
              <w:pStyle w:val="Compact"/>
              <w:jc w:val="left"/>
            </w:pPr>
            <w:r>
              <w:t xml:space="preserve">Med = 0.24 (1.01)</w:t>
            </w:r>
          </w:p>
        </w:tc>
      </w:tr>
      <w:tr>
        <w:tc>
          <w:tcPr/>
          <w:p>
            <w:pPr>
              <w:pStyle w:val="Compact"/>
              <w:jc w:val="left"/>
            </w:pPr>
            <w:r>
              <w:t xml:space="preserve">Segment self-intersections [n/9]</w:t>
            </w:r>
          </w:p>
        </w:tc>
        <w:tc>
          <w:tcPr/>
          <w:p>
            <w:pPr>
              <w:pStyle w:val="Compact"/>
              <w:jc w:val="left"/>
            </w:pPr>
            <w:r>
              <w:t xml:space="preserve">Med = 0.16 (1.15)</w:t>
            </w:r>
          </w:p>
        </w:tc>
        <w:tc>
          <w:tcPr/>
          <w:p>
            <w:pPr>
              <w:pStyle w:val="Compact"/>
              <w:jc w:val="left"/>
            </w:pPr>
            <w:r>
              <w:t xml:space="preserve">Med = -0.30 (0.84)</w:t>
            </w:r>
          </w:p>
        </w:tc>
      </w:tr>
      <w:tr>
        <w:tc>
          <w:tcPr/>
          <w:p>
            <w:pPr>
              <w:pStyle w:val="Compact"/>
              <w:jc w:val="left"/>
            </w:pPr>
            <w:r>
              <w:t xml:space="preserve">Area of the polygon [z-score]</w:t>
            </w:r>
          </w:p>
        </w:tc>
        <w:tc>
          <w:tcPr/>
          <w:p>
            <w:pPr>
              <w:pStyle w:val="Compact"/>
              <w:jc w:val="left"/>
            </w:pPr>
            <w:r>
              <w:t xml:space="preserve">Med = -0.53 (0.82)</w:t>
            </w:r>
          </w:p>
        </w:tc>
        <w:tc>
          <w:tcPr/>
          <w:p>
            <w:pPr>
              <w:pStyle w:val="Compact"/>
              <w:jc w:val="left"/>
            </w:pPr>
            <w:r>
              <w:t xml:space="preserve">Med = 0.16 (1.02)</w:t>
            </w:r>
          </w:p>
        </w:tc>
      </w:tr>
      <w:tr>
        <w:tc>
          <w:tcPr/>
          <w:p>
            <w:pPr>
              <w:pStyle w:val="Compact"/>
              <w:jc w:val="left"/>
            </w:pPr>
            <w:r>
              <w:t xml:space="preserve">Area [z-score]</w:t>
            </w:r>
          </w:p>
        </w:tc>
        <w:tc>
          <w:tcPr/>
          <w:p>
            <w:pPr>
              <w:pStyle w:val="Compact"/>
              <w:jc w:val="left"/>
            </w:pPr>
            <w:r>
              <w:t xml:space="preserve">Med = -0.16 (1.28)</w:t>
            </w:r>
          </w:p>
        </w:tc>
        <w:tc>
          <w:tcPr/>
          <w:p>
            <w:pPr>
              <w:pStyle w:val="Compact"/>
              <w:jc w:val="left"/>
            </w:pPr>
            <w:r>
              <w:t xml:space="preserve">Med = -0.51 (0.55)</w:t>
            </w:r>
          </w:p>
        </w:tc>
      </w:tr>
      <w:tr>
        <w:tc>
          <w:tcPr/>
          <w:p>
            <w:pPr>
              <w:pStyle w:val="Compact"/>
              <w:jc w:val="left"/>
            </w:pPr>
            <w:r>
              <w:t xml:space="preserve">Simple topology [mean binary/9]</w:t>
            </w:r>
          </w:p>
        </w:tc>
        <w:tc>
          <w:tcPr/>
          <w:p>
            <w:pPr>
              <w:pStyle w:val="Compact"/>
              <w:jc w:val="left"/>
            </w:pPr>
            <w:r>
              <w:t xml:space="preserve">Med = -0.75 (0.85)</w:t>
            </w:r>
          </w:p>
        </w:tc>
        <w:tc>
          <w:tcPr/>
          <w:p>
            <w:pPr>
              <w:pStyle w:val="Compact"/>
              <w:jc w:val="left"/>
            </w:pPr>
            <w:r>
              <w:t xml:space="preserve">Med = 0.11 (1.01)</w:t>
            </w:r>
          </w:p>
        </w:tc>
      </w:tr>
      <w:tr>
        <w:tc>
          <w:tcPr/>
          <w:p>
            <w:pPr>
              <w:pStyle w:val="Compact"/>
              <w:jc w:val="left"/>
            </w:pPr>
            <w:r>
              <w:t xml:space="preserve">Permuted Chance level [z-score]</w:t>
            </w:r>
          </w:p>
        </w:tc>
        <w:tc>
          <w:tcPr/>
          <w:p>
            <w:pPr>
              <w:pStyle w:val="Compact"/>
              <w:jc w:val="left"/>
            </w:pPr>
            <w:r>
              <w:t xml:space="preserve">Med = -0.29 (1.24)</w:t>
            </w:r>
          </w:p>
        </w:tc>
        <w:tc>
          <w:tcPr/>
          <w:p>
            <w:pPr>
              <w:pStyle w:val="Compact"/>
              <w:jc w:val="left"/>
            </w:pPr>
            <w:r>
              <w:t xml:space="preserve">Med = -0.52 (0.55)</w:t>
            </w:r>
          </w:p>
        </w:tc>
      </w:tr>
      <w:tr>
        <w:tc>
          <w:tcPr/>
          <w:p>
            <w:pPr>
              <w:pStyle w:val="Compact"/>
              <w:jc w:val="left"/>
            </w:pPr>
            <w:r>
              <w:t xml:space="preserve">Perimeter of the polygon [z-score]</w:t>
            </w:r>
          </w:p>
        </w:tc>
        <w:tc>
          <w:tcPr/>
          <w:p>
            <w:pPr>
              <w:pStyle w:val="Compact"/>
              <w:jc w:val="left"/>
            </w:pPr>
            <w:r>
              <w:t xml:space="preserve">Med = -0.10 (1.45)</w:t>
            </w:r>
          </w:p>
        </w:tc>
        <w:tc>
          <w:tcPr/>
          <w:p>
            <w:pPr>
              <w:pStyle w:val="Compact"/>
              <w:jc w:val="left"/>
            </w:pPr>
            <w:r>
              <w:t xml:space="preserve">Med = -0.10 (0.40)</w:t>
            </w:r>
          </w:p>
        </w:tc>
      </w:tr>
      <w:tr>
        <w:tc>
          <w:tcPr/>
          <w:p>
            <w:pPr>
              <w:pStyle w:val="Compact"/>
              <w:jc w:val="left"/>
            </w:pPr>
            <w:r>
              <w:t xml:space="preserve">Perimeter [screen size %]</w:t>
            </w:r>
          </w:p>
        </w:tc>
        <w:tc>
          <w:tcPr/>
          <w:p>
            <w:pPr>
              <w:pStyle w:val="Compact"/>
              <w:jc w:val="left"/>
            </w:pPr>
            <w:r>
              <w:t xml:space="preserve">Med = -0.11 (0.43)</w:t>
            </w:r>
          </w:p>
        </w:tc>
        <w:tc>
          <w:tcPr/>
          <w:p>
            <w:pPr>
              <w:pStyle w:val="Compact"/>
              <w:jc w:val="left"/>
            </w:pPr>
            <w:r>
              <w:t xml:space="preserve">Med = -0.17 (1.27)</w:t>
            </w:r>
          </w:p>
        </w:tc>
      </w:tr>
      <w:tr>
        <w:tc>
          <w:tcPr/>
          <w:p>
            <w:pPr>
              <w:pStyle w:val="Compact"/>
              <w:jc w:val="left"/>
            </w:pPr>
            <w:r>
              <w:t xml:space="preserve">Correlation between coordinates [r]</w:t>
            </w:r>
          </w:p>
        </w:tc>
        <w:tc>
          <w:tcPr/>
          <w:p>
            <w:pPr>
              <w:pStyle w:val="Compact"/>
              <w:jc w:val="left"/>
            </w:pPr>
            <w:r>
              <w:t xml:space="preserve">Med = -0.22 (1.17)</w:t>
            </w:r>
          </w:p>
        </w:tc>
        <w:tc>
          <w:tcPr/>
          <w:p>
            <w:pPr>
              <w:pStyle w:val="Compact"/>
              <w:jc w:val="left"/>
            </w:pPr>
            <w:r>
              <w:t xml:space="preserve">Med = -0.30 (0.83)</w:t>
            </w:r>
          </w:p>
        </w:tc>
      </w:tr>
      <w:tr>
        <w:tc>
          <w:tcPr/>
          <w:p>
            <w:pPr>
              <w:pStyle w:val="Compact"/>
              <w:jc w:val="left"/>
            </w:pPr>
            <w:r>
              <w:t xml:space="preserve">Area [screen size %]</w:t>
            </w:r>
          </w:p>
        </w:tc>
        <w:tc>
          <w:tcPr/>
          <w:p>
            <w:pPr>
              <w:pStyle w:val="Compact"/>
              <w:jc w:val="left"/>
            </w:pPr>
            <w:r>
              <w:t xml:space="preserve">Med = -0.30 (1.24)</w:t>
            </w:r>
          </w:p>
        </w:tc>
        <w:tc>
          <w:tcPr/>
          <w:p>
            <w:pPr>
              <w:pStyle w:val="Compact"/>
              <w:jc w:val="left"/>
            </w:pPr>
            <w:r>
              <w:t xml:space="preserve">Med = -0.34 (0.76)</w:t>
            </w:r>
          </w:p>
        </w:tc>
      </w:tr>
    </w:tbl>
    <w:bookmarkEnd w:id="152"/>
    <w:bookmarkEnd w:id="153"/>
    <w:bookmarkStart w:id="172" w:name="sec-sm1"/>
    <w:p>
      <w:pPr>
        <w:pStyle w:val="Heading2"/>
      </w:pPr>
      <w:r>
        <w:t xml:space="preserve">Appendix 2 Sub-sampled data by questionnaire quantiles (20% steps)</w:t>
      </w:r>
    </w:p>
    <w:p>
      <w:pPr>
        <w:pStyle w:val="FirstParagraph"/>
      </w:pPr>
      <w:r>
        <w:t xml:space="preserve">We compared the data sampled by the questionnaire score. Based on the</w:t>
      </w:r>
      <w:r>
        <w:t xml:space="preserve"> </w:t>
      </w:r>
      <w:r>
        <w:t xml:space="preserve">distribution of the questionnaire score, we sampled the 10 % with the</w:t>
      </w:r>
      <w:r>
        <w:t xml:space="preserve"> </w:t>
      </w:r>
      <w:r>
        <w:t xml:space="preserve">lowest and 10 % with the highest scores. Those are then compared with</w:t>
      </w:r>
      <w:r>
        <w:t xml:space="preserve"> </w:t>
      </w:r>
      <w:r>
        <w:t xml:space="preserve">the 20 and 20 % and so on until 40 and 40 %. The rationale of this</w:t>
      </w:r>
      <w:r>
        <w:t xml:space="preserve"> </w:t>
      </w:r>
      <w:r>
        <w:t xml:space="preserve">procedure is that AUC, sensitivity and specificity should remain stable</w:t>
      </w:r>
      <w:r>
        <w:t xml:space="preserve"> </w:t>
      </w:r>
      <w:r>
        <w:t xml:space="preserve">across percentiles for a feature to be valid, see</w:t>
      </w:r>
      <w:r>
        <w:t xml:space="preserve"> </w:t>
      </w:r>
      <w:hyperlink w:anchor="fig-myplot5">
        <w:r>
          <w:rPr>
            <w:rStyle w:val="Hyperlink"/>
          </w:rPr>
          <w:t xml:space="preserve">Figure A2</w:t>
        </w:r>
      </w:hyperlink>
      <w:r>
        <w:t xml:space="preserve">. In other</w:t>
      </w:r>
      <w:r>
        <w:t xml:space="preserve"> </w:t>
      </w:r>
      <w:r>
        <w:t xml:space="preserve">words the ROC should remain unchanged if we take extreme groups compared</w:t>
      </w:r>
      <w:r>
        <w:t xml:space="preserve"> </w:t>
      </w:r>
      <w:r>
        <w:t xml:space="preserve">to less extreme ones.</w:t>
      </w:r>
    </w:p>
    <w:bookmarkStart w:id="162" w:name="fig-myplot5"/>
    <w:bookmarkStart w:id="157" w:name="fig-myplot5-1"/>
    <w:p>
      <w:pPr>
        <w:pStyle w:val="FigureWithoutNote"/>
      </w:pPr>
      <w:r>
        <w:t xml:space="preserve">(A) Area Under the Curve (AUC)</w:t>
      </w:r>
    </w:p>
    <w:p>
      <w:pPr>
        <w:pStyle w:val="FigureWithoutNote"/>
      </w:pPr>
      <w:r>
        <w:drawing>
          <wp:inline>
            <wp:extent cx="2971800" cy="2971800"/>
            <wp:effectExtent b="0" l="0" r="0" t="0"/>
            <wp:docPr descr="" title="" id="155" name="Picture"/>
            <a:graphic>
              <a:graphicData uri="http://schemas.openxmlformats.org/drawingml/2006/picture">
                <pic:pic>
                  <pic:nvPicPr>
                    <pic:cNvPr descr="2.Pre-registeredReport_MS1_RL_files/figure-docx/fig-myplot5-1.png" id="156" name="Picture"/>
                    <pic:cNvPicPr>
                      <a:picLocks noChangeArrowheads="1" noChangeAspect="1"/>
                    </pic:cNvPicPr>
                  </pic:nvPicPr>
                  <pic:blipFill>
                    <a:blip r:embed="rId154"/>
                    <a:stretch>
                      <a:fillRect/>
                    </a:stretch>
                  </pic:blipFill>
                  <pic:spPr bwMode="auto">
                    <a:xfrm>
                      <a:off x="0" y="0"/>
                      <a:ext cx="2971800" cy="2971800"/>
                    </a:xfrm>
                    <a:prstGeom prst="rect">
                      <a:avLst/>
                    </a:prstGeom>
                    <a:noFill/>
                    <a:ln w="9525">
                      <a:noFill/>
                      <a:headEnd/>
                      <a:tailEnd/>
                    </a:ln>
                  </pic:spPr>
                </pic:pic>
              </a:graphicData>
            </a:graphic>
          </wp:inline>
        </w:drawing>
      </w:r>
    </w:p>
    <w:bookmarkEnd w:id="157"/>
    <w:bookmarkStart w:id="161" w:name="fig-myplot5-2"/>
    <w:p>
      <w:pPr>
        <w:pStyle w:val="FigureWithoutNote"/>
      </w:pPr>
      <w:r>
        <w:t xml:space="preserve">(B) Discrimination Power (DP)</w:t>
      </w:r>
    </w:p>
    <w:p>
      <w:pPr>
        <w:pStyle w:val="FigureWithoutNote"/>
      </w:pPr>
      <w:r>
        <w:drawing>
          <wp:inline>
            <wp:extent cx="2971800" cy="2971800"/>
            <wp:effectExtent b="0" l="0" r="0" t="0"/>
            <wp:docPr descr="" title="" id="159" name="Picture"/>
            <a:graphic>
              <a:graphicData uri="http://schemas.openxmlformats.org/drawingml/2006/picture">
                <pic:pic>
                  <pic:nvPicPr>
                    <pic:cNvPr descr="2.Pre-registeredReport_MS1_RL_files/figure-docx/fig-myplot5-2.png" id="160" name="Picture"/>
                    <pic:cNvPicPr>
                      <a:picLocks noChangeArrowheads="1" noChangeAspect="1"/>
                    </pic:cNvPicPr>
                  </pic:nvPicPr>
                  <pic:blipFill>
                    <a:blip r:embed="rId158"/>
                    <a:stretch>
                      <a:fillRect/>
                    </a:stretch>
                  </pic:blipFill>
                  <pic:spPr bwMode="auto">
                    <a:xfrm>
                      <a:off x="0" y="0"/>
                      <a:ext cx="2971800" cy="2971800"/>
                    </a:xfrm>
                    <a:prstGeom prst="rect">
                      <a:avLst/>
                    </a:prstGeom>
                    <a:noFill/>
                    <a:ln w="9525">
                      <a:noFill/>
                      <a:headEnd/>
                      <a:tailEnd/>
                    </a:ln>
                  </pic:spPr>
                </pic:pic>
              </a:graphicData>
            </a:graphic>
          </wp:inline>
        </w:drawing>
      </w:r>
    </w:p>
    <w:bookmarkEnd w:id="161"/>
    <w:p>
      <w:pPr>
        <w:pStyle w:val="FigureTitle"/>
      </w:pPr>
      <w:r>
        <w:t xml:space="preserve">Figure A2</w:t>
      </w:r>
    </w:p>
    <w:p>
      <w:pPr>
        <w:pStyle w:val="Caption"/>
      </w:pPr>
      <w:r>
        <w:t xml:space="preserve">Lineplots of AUC and DP by percentile</w:t>
      </w:r>
    </w:p>
    <w:bookmarkEnd w:id="162"/>
    <w:p>
      <w:pPr>
        <w:pStyle w:val="AfterWithoutNote"/>
      </w:pPr>
      <w:r>
        <w:t xml:space="preserve"> </w:t>
      </w:r>
    </w:p>
    <w:bookmarkStart w:id="171" w:name="fig-myplot6"/>
    <w:bookmarkStart w:id="166" w:name="fig-myplot6-1"/>
    <w:p>
      <w:pPr>
        <w:pStyle w:val="FigureWithoutNote"/>
      </w:pPr>
      <w:r>
        <w:t xml:space="preserve">(A) Sensitivity</w:t>
      </w:r>
    </w:p>
    <w:p>
      <w:pPr>
        <w:pStyle w:val="FigureWithoutNote"/>
      </w:pPr>
      <w:r>
        <w:drawing>
          <wp:inline>
            <wp:extent cx="2971800" cy="2971800"/>
            <wp:effectExtent b="0" l="0" r="0" t="0"/>
            <wp:docPr descr="" title="" id="164" name="Picture"/>
            <a:graphic>
              <a:graphicData uri="http://schemas.openxmlformats.org/drawingml/2006/picture">
                <pic:pic>
                  <pic:nvPicPr>
                    <pic:cNvPr descr="2.Pre-registeredReport_MS1_RL_files/figure-docx/fig-myplot6-1.png" id="165" name="Picture"/>
                    <pic:cNvPicPr>
                      <a:picLocks noChangeArrowheads="1" noChangeAspect="1"/>
                    </pic:cNvPicPr>
                  </pic:nvPicPr>
                  <pic:blipFill>
                    <a:blip r:embed="rId163"/>
                    <a:stretch>
                      <a:fillRect/>
                    </a:stretch>
                  </pic:blipFill>
                  <pic:spPr bwMode="auto">
                    <a:xfrm>
                      <a:off x="0" y="0"/>
                      <a:ext cx="2971800" cy="2971800"/>
                    </a:xfrm>
                    <a:prstGeom prst="rect">
                      <a:avLst/>
                    </a:prstGeom>
                    <a:noFill/>
                    <a:ln w="9525">
                      <a:noFill/>
                      <a:headEnd/>
                      <a:tailEnd/>
                    </a:ln>
                  </pic:spPr>
                </pic:pic>
              </a:graphicData>
            </a:graphic>
          </wp:inline>
        </w:drawing>
      </w:r>
    </w:p>
    <w:bookmarkEnd w:id="166"/>
    <w:bookmarkStart w:id="170" w:name="fig-myplot6-2"/>
    <w:p>
      <w:pPr>
        <w:pStyle w:val="FigureWithoutNote"/>
      </w:pPr>
      <w:r>
        <w:t xml:space="preserve">(B) Specificity</w:t>
      </w:r>
    </w:p>
    <w:p>
      <w:pPr>
        <w:pStyle w:val="FigureWithoutNote"/>
      </w:pPr>
      <w:r>
        <w:drawing>
          <wp:inline>
            <wp:extent cx="2971800" cy="2971800"/>
            <wp:effectExtent b="0" l="0" r="0" t="0"/>
            <wp:docPr descr="" title="" id="168" name="Picture"/>
            <a:graphic>
              <a:graphicData uri="http://schemas.openxmlformats.org/drawingml/2006/picture">
                <pic:pic>
                  <pic:nvPicPr>
                    <pic:cNvPr descr="2.Pre-registeredReport_MS1_RL_files/figure-docx/fig-myplot6-2.png" id="169" name="Picture"/>
                    <pic:cNvPicPr>
                      <a:picLocks noChangeArrowheads="1" noChangeAspect="1"/>
                    </pic:cNvPicPr>
                  </pic:nvPicPr>
                  <pic:blipFill>
                    <a:blip r:embed="rId167"/>
                    <a:stretch>
                      <a:fillRect/>
                    </a:stretch>
                  </pic:blipFill>
                  <pic:spPr bwMode="auto">
                    <a:xfrm>
                      <a:off x="0" y="0"/>
                      <a:ext cx="2971800" cy="2971800"/>
                    </a:xfrm>
                    <a:prstGeom prst="rect">
                      <a:avLst/>
                    </a:prstGeom>
                    <a:noFill/>
                    <a:ln w="9525">
                      <a:noFill/>
                      <a:headEnd/>
                      <a:tailEnd/>
                    </a:ln>
                  </pic:spPr>
                </pic:pic>
              </a:graphicData>
            </a:graphic>
          </wp:inline>
        </w:drawing>
      </w:r>
    </w:p>
    <w:bookmarkEnd w:id="170"/>
    <w:p>
      <w:pPr>
        <w:pStyle w:val="FigureTitle"/>
      </w:pPr>
      <w:r>
        <w:t xml:space="preserve">Figure A3</w:t>
      </w:r>
    </w:p>
    <w:p>
      <w:pPr>
        <w:pStyle w:val="Caption"/>
      </w:pPr>
      <w:r>
        <w:t xml:space="preserve">Lineplots of Sensitivity and Specificity by percentiles</w:t>
      </w:r>
    </w:p>
    <w:bookmarkEnd w:id="171"/>
    <w:bookmarkEnd w:id="172"/>
    <w:bookmarkStart w:id="192" w:name="sec-SM3byds"/>
    <w:p>
      <w:pPr>
        <w:pStyle w:val="Heading2"/>
      </w:pPr>
      <w:r>
        <w:t xml:space="preserve">Appendix 3 By dataset</w:t>
      </w:r>
    </w:p>
    <w:p>
      <w:pPr>
        <w:pStyle w:val="FirstParagraph"/>
      </w:pPr>
      <w:r>
        <w:t xml:space="preserve">Here we compare the ROC for each data sample. Note that the dataset</w:t>
      </w:r>
      <w:r>
        <w:t xml:space="preserve"> </w:t>
      </w:r>
      <w:r>
        <w:t xml:space="preserve">labelled as Ward 2 has more synaesthetes than controls (5:1), see</w:t>
      </w:r>
      <w:r>
        <w:t xml:space="preserve"> </w:t>
      </w:r>
      <w:hyperlink w:anchor="tbl-mytb2">
        <w:r>
          <w:rPr>
            <w:rStyle w:val="Hyperlink"/>
          </w:rPr>
          <w:t xml:space="preserve">Table 2</w:t>
        </w:r>
      </w:hyperlink>
      <w:r>
        <w:t xml:space="preserve">. Hence, we only present the descriptives per dataset for the</w:t>
      </w:r>
      <w:r>
        <w:t xml:space="preserve"> </w:t>
      </w:r>
      <w:r>
        <w:t xml:space="preserve">two main features and other datasets.</w:t>
      </w:r>
    </w:p>
    <w:bookmarkStart w:id="173" w:name="tbl-mytb4"/>
    <w:p>
      <w:pPr>
        <w:pStyle w:val="FigureTitle"/>
      </w:pPr>
      <w:r>
        <w:t xml:space="preserve">Table A2</w:t>
      </w:r>
    </w:p>
    <w:p>
      <w:pPr>
        <w:pStyle w:val="Caption"/>
      </w:pPr>
      <w:r>
        <w:t xml:space="preserve">Average feature for each group and dataset</w:t>
      </w:r>
    </w:p>
    <w:p>
      <w:pPr>
        <w:pStyle w:val="TableCaption"/>
      </w:pPr>
      <w:r>
        <w:t xml:space="preserve">(#tab:tbl-mytb4)</w:t>
      </w:r>
    </w:p>
    <w:tbl>
      <w:tblPr>
        <w:tblStyle w:val="Table"/>
        <w:tblW w:type="auto" w:w="0"/>
        <w:tblLook w:firstRow="1" w:lastRow="0" w:firstColumn="0" w:lastColumn="0" w:noHBand="0" w:noVBand="0" w:val="0020"/>
        <w:tblCaption w:val="(#tab:tbl-mytb4)"/>
      </w:tblPr>
      <w:tblGrid>
        <w:gridCol w:w="1980"/>
        <w:gridCol w:w="1980"/>
        <w:gridCol w:w="1980"/>
        <w:gridCol w:w="1980"/>
      </w:tblGrid>
      <w:tr>
        <w:trPr>
          <w:tblHeader w:val="on"/>
        </w:trPr>
        <w:tc>
          <w:tcPr/>
          <w:p>
            <w:pPr>
              <w:pStyle w:val="Compact"/>
              <w:jc w:val="left"/>
            </w:pPr>
            <w:r>
              <w:t xml:space="preserve">dataSource</w:t>
            </w:r>
          </w:p>
        </w:tc>
        <w:tc>
          <w:tcPr/>
          <w:p>
            <w:pPr>
              <w:pStyle w:val="Compact"/>
              <w:jc w:val="left"/>
            </w:pPr>
            <w:r>
              <w:t xml:space="preserve">Feature</w:t>
            </w: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PeterCor</w:t>
            </w:r>
          </w:p>
        </w:tc>
        <w:tc>
          <w:tcPr/>
          <w:p>
            <w:pPr>
              <w:pStyle w:val="Compact"/>
              <w:jc w:val="left"/>
            </w:pPr>
            <w:r>
              <w:t xml:space="preserve">Perimeter_zs</w:t>
            </w:r>
          </w:p>
        </w:tc>
        <w:tc>
          <w:tcPr/>
          <w:p>
            <w:pPr>
              <w:pStyle w:val="Compact"/>
              <w:jc w:val="left"/>
            </w:pPr>
            <w:r>
              <w:t xml:space="preserve">Med = 1.24 (0.79)</w:t>
            </w:r>
          </w:p>
        </w:tc>
        <w:tc>
          <w:tcPr/>
          <w:p>
            <w:pPr>
              <w:pStyle w:val="Compact"/>
              <w:jc w:val="left"/>
            </w:pPr>
            <w:r>
              <w:t xml:space="preserve">Med = 0.73 (0.24)</w:t>
            </w:r>
          </w:p>
        </w:tc>
      </w:tr>
      <w:tr>
        <w:tc>
          <w:tcPr/>
          <w:p>
            <w:pPr>
              <w:pStyle w:val="Compact"/>
              <w:jc w:val="left"/>
            </w:pPr>
            <w:r>
              <w:t xml:space="preserve">Rothen</w:t>
            </w:r>
          </w:p>
        </w:tc>
        <w:tc>
          <w:tcPr/>
          <w:p>
            <w:pPr>
              <w:pStyle w:val="Compact"/>
              <w:jc w:val="left"/>
            </w:pPr>
            <w:r>
              <w:t xml:space="preserve">Perimeter_zs</w:t>
            </w:r>
          </w:p>
        </w:tc>
        <w:tc>
          <w:tcPr/>
          <w:p>
            <w:pPr>
              <w:pStyle w:val="Compact"/>
              <w:jc w:val="left"/>
            </w:pPr>
            <w:r>
              <w:t xml:space="preserve">Med = 3.07 (1.37)</w:t>
            </w:r>
          </w:p>
        </w:tc>
        <w:tc>
          <w:tcPr/>
          <w:p>
            <w:pPr>
              <w:pStyle w:val="Compact"/>
              <w:jc w:val="left"/>
            </w:pPr>
            <w:r>
              <w:t xml:space="preserve">Med = 1.18 (0.96)</w:t>
            </w:r>
          </w:p>
        </w:tc>
      </w:tr>
      <w:tr>
        <w:tc>
          <w:tcPr/>
          <w:p>
            <w:pPr>
              <w:pStyle w:val="Compact"/>
              <w:jc w:val="left"/>
            </w:pPr>
            <w:r>
              <w:t xml:space="preserve">Ward</w:t>
            </w:r>
          </w:p>
        </w:tc>
        <w:tc>
          <w:tcPr/>
          <w:p>
            <w:pPr>
              <w:pStyle w:val="Compact"/>
              <w:jc w:val="left"/>
            </w:pPr>
            <w:r>
              <w:t xml:space="preserve">Perimeter_zs</w:t>
            </w:r>
          </w:p>
        </w:tc>
        <w:tc>
          <w:tcPr/>
          <w:p>
            <w:pPr>
              <w:pStyle w:val="Compact"/>
              <w:jc w:val="left"/>
            </w:pPr>
            <w:r>
              <w:t xml:space="preserve">Med = 3.76 (1.65)</w:t>
            </w:r>
          </w:p>
        </w:tc>
        <w:tc>
          <w:tcPr/>
          <w:p>
            <w:pPr>
              <w:pStyle w:val="Compact"/>
              <w:jc w:val="left"/>
            </w:pPr>
            <w:r>
              <w:t xml:space="preserve">Med = 1.14 (1.19)</w:t>
            </w:r>
          </w:p>
        </w:tc>
      </w:tr>
      <w:tr>
        <w:tc>
          <w:tcPr/>
          <w:p>
            <w:pPr>
              <w:pStyle w:val="Compact"/>
              <w:jc w:val="left"/>
            </w:pPr>
            <w:r>
              <w:t xml:space="preserve">PeterCor</w:t>
            </w:r>
          </w:p>
        </w:tc>
        <w:tc>
          <w:tcPr/>
          <w:p>
            <w:pPr>
              <w:pStyle w:val="Compact"/>
              <w:jc w:val="left"/>
            </w:pPr>
            <w:r>
              <w:t xml:space="preserve">isValid_perm_M</w:t>
            </w:r>
          </w:p>
        </w:tc>
        <w:tc>
          <w:tcPr/>
          <w:p>
            <w:pPr>
              <w:pStyle w:val="Compact"/>
              <w:jc w:val="left"/>
            </w:pPr>
            <w:r>
              <w:t xml:space="preserve">Med = 0.07 (0.10)</w:t>
            </w:r>
          </w:p>
        </w:tc>
        <w:tc>
          <w:tcPr/>
          <w:p>
            <w:pPr>
              <w:pStyle w:val="Compact"/>
              <w:jc w:val="left"/>
            </w:pPr>
            <w:r>
              <w:t xml:space="preserve">Med = 0.56 (0.25)</w:t>
            </w:r>
          </w:p>
        </w:tc>
      </w:tr>
      <w:tr>
        <w:tc>
          <w:tcPr/>
          <w:p>
            <w:pPr>
              <w:pStyle w:val="Compact"/>
              <w:jc w:val="left"/>
            </w:pPr>
            <w:r>
              <w:t xml:space="preserve">Rothen</w:t>
            </w:r>
          </w:p>
        </w:tc>
        <w:tc>
          <w:tcPr/>
          <w:p>
            <w:pPr>
              <w:pStyle w:val="Compact"/>
              <w:jc w:val="left"/>
            </w:pPr>
            <w:r>
              <w:t xml:space="preserve">isValid_perm_M</w:t>
            </w:r>
          </w:p>
        </w:tc>
        <w:tc>
          <w:tcPr/>
          <w:p>
            <w:pPr>
              <w:pStyle w:val="Compact"/>
              <w:jc w:val="left"/>
            </w:pPr>
            <w:r>
              <w:t xml:space="preserve">Med = 0.09 (0.16)</w:t>
            </w:r>
          </w:p>
        </w:tc>
        <w:tc>
          <w:tcPr/>
          <w:p>
            <w:pPr>
              <w:pStyle w:val="Compact"/>
              <w:jc w:val="left"/>
            </w:pPr>
            <w:r>
              <w:t xml:space="preserve">Med = 0.27 (0.22)</w:t>
            </w:r>
          </w:p>
        </w:tc>
      </w:tr>
      <w:tr>
        <w:tc>
          <w:tcPr/>
          <w:p>
            <w:pPr>
              <w:pStyle w:val="Compact"/>
              <w:jc w:val="left"/>
            </w:pPr>
            <w:r>
              <w:t xml:space="preserve">Ward</w:t>
            </w:r>
          </w:p>
        </w:tc>
        <w:tc>
          <w:tcPr/>
          <w:p>
            <w:pPr>
              <w:pStyle w:val="Compact"/>
              <w:jc w:val="left"/>
            </w:pPr>
            <w:r>
              <w:t xml:space="preserve">isValid_perm_M</w:t>
            </w:r>
          </w:p>
        </w:tc>
        <w:tc>
          <w:tcPr/>
          <w:p>
            <w:pPr>
              <w:pStyle w:val="Compact"/>
              <w:jc w:val="left"/>
            </w:pPr>
            <w:r>
              <w:t xml:space="preserve">Med = 0.05 (0.15)</w:t>
            </w:r>
          </w:p>
        </w:tc>
        <w:tc>
          <w:tcPr/>
          <w:p>
            <w:pPr>
              <w:pStyle w:val="Compact"/>
              <w:jc w:val="left"/>
            </w:pPr>
            <w:r>
              <w:t xml:space="preserve">Med = 0.31 (0.24)</w:t>
            </w:r>
          </w:p>
        </w:tc>
      </w:tr>
    </w:tbl>
    <w:bookmarkEnd w:id="173"/>
    <w:bookmarkStart w:id="182" w:name="fig-myplot9"/>
    <w:bookmarkStart w:id="177" w:name="fig-myplot9-1"/>
    <w:p>
      <w:pPr>
        <w:pStyle w:val="FigureWithoutNote"/>
      </w:pPr>
      <w:r>
        <w:t xml:space="preserve">(A) Area Under the Curve (AUC)</w:t>
      </w:r>
    </w:p>
    <w:p>
      <w:pPr>
        <w:pStyle w:val="FigureWithoutNote"/>
      </w:pPr>
      <w:r>
        <w:drawing>
          <wp:inline>
            <wp:extent cx="2971800" cy="2971800"/>
            <wp:effectExtent b="0" l="0" r="0" t="0"/>
            <wp:docPr descr="" title="" id="175" name="Picture"/>
            <a:graphic>
              <a:graphicData uri="http://schemas.openxmlformats.org/drawingml/2006/picture">
                <pic:pic>
                  <pic:nvPicPr>
                    <pic:cNvPr descr="2.Pre-registeredReport_MS1_RL_files/figure-docx/fig-myplot9-1.png" id="176" name="Picture"/>
                    <pic:cNvPicPr>
                      <a:picLocks noChangeArrowheads="1" noChangeAspect="1"/>
                    </pic:cNvPicPr>
                  </pic:nvPicPr>
                  <pic:blipFill>
                    <a:blip r:embed="rId174"/>
                    <a:stretch>
                      <a:fillRect/>
                    </a:stretch>
                  </pic:blipFill>
                  <pic:spPr bwMode="auto">
                    <a:xfrm>
                      <a:off x="0" y="0"/>
                      <a:ext cx="2971800" cy="2971800"/>
                    </a:xfrm>
                    <a:prstGeom prst="rect">
                      <a:avLst/>
                    </a:prstGeom>
                    <a:noFill/>
                    <a:ln w="9525">
                      <a:noFill/>
                      <a:headEnd/>
                      <a:tailEnd/>
                    </a:ln>
                  </pic:spPr>
                </pic:pic>
              </a:graphicData>
            </a:graphic>
          </wp:inline>
        </w:drawing>
      </w:r>
    </w:p>
    <w:bookmarkEnd w:id="177"/>
    <w:bookmarkStart w:id="181" w:name="fig-myplot9-2"/>
    <w:p>
      <w:pPr>
        <w:pStyle w:val="FigureWithoutNote"/>
      </w:pPr>
      <w:r>
        <w:t xml:space="preserve">(B) Discrimination Power (DP)</w:t>
      </w:r>
    </w:p>
    <w:p>
      <w:pPr>
        <w:pStyle w:val="FigureWithoutNote"/>
      </w:pPr>
      <w:r>
        <w:drawing>
          <wp:inline>
            <wp:extent cx="2971800" cy="2971800"/>
            <wp:effectExtent b="0" l="0" r="0" t="0"/>
            <wp:docPr descr="" title="" id="179" name="Picture"/>
            <a:graphic>
              <a:graphicData uri="http://schemas.openxmlformats.org/drawingml/2006/picture">
                <pic:pic>
                  <pic:nvPicPr>
                    <pic:cNvPr descr="2.Pre-registeredReport_MS1_RL_files/figure-docx/fig-myplot9-2.png" id="180" name="Picture"/>
                    <pic:cNvPicPr>
                      <a:picLocks noChangeArrowheads="1" noChangeAspect="1"/>
                    </pic:cNvPicPr>
                  </pic:nvPicPr>
                  <pic:blipFill>
                    <a:blip r:embed="rId178"/>
                    <a:stretch>
                      <a:fillRect/>
                    </a:stretch>
                  </pic:blipFill>
                  <pic:spPr bwMode="auto">
                    <a:xfrm>
                      <a:off x="0" y="0"/>
                      <a:ext cx="2971800" cy="2971800"/>
                    </a:xfrm>
                    <a:prstGeom prst="rect">
                      <a:avLst/>
                    </a:prstGeom>
                    <a:noFill/>
                    <a:ln w="9525">
                      <a:noFill/>
                      <a:headEnd/>
                      <a:tailEnd/>
                    </a:ln>
                  </pic:spPr>
                </pic:pic>
              </a:graphicData>
            </a:graphic>
          </wp:inline>
        </w:drawing>
      </w:r>
    </w:p>
    <w:bookmarkEnd w:id="181"/>
    <w:p>
      <w:pPr>
        <w:pStyle w:val="FigureTitle"/>
      </w:pPr>
      <w:r>
        <w:t xml:space="preserve">Figure A4</w:t>
      </w:r>
    </w:p>
    <w:p>
      <w:pPr>
        <w:pStyle w:val="Caption"/>
      </w:pPr>
      <w:r>
        <w:t xml:space="preserve">Lineplots of AUC and DP by data source</w:t>
      </w:r>
    </w:p>
    <w:bookmarkEnd w:id="182"/>
    <w:p>
      <w:pPr>
        <w:pStyle w:val="AfterWithoutNote"/>
      </w:pPr>
      <w:r>
        <w:t xml:space="preserve"> </w:t>
      </w:r>
    </w:p>
    <w:bookmarkStart w:id="191" w:name="fig-myplot10"/>
    <w:bookmarkStart w:id="186" w:name="fig-myplot10-1"/>
    <w:p>
      <w:pPr>
        <w:pStyle w:val="FigureWithoutNote"/>
      </w:pPr>
      <w:r>
        <w:t xml:space="preserve">(A) Sensitivity</w:t>
      </w:r>
    </w:p>
    <w:p>
      <w:pPr>
        <w:pStyle w:val="FigureWithoutNote"/>
      </w:pPr>
      <w:r>
        <w:drawing>
          <wp:inline>
            <wp:extent cx="2971800" cy="2971800"/>
            <wp:effectExtent b="0" l="0" r="0" t="0"/>
            <wp:docPr descr="" title="" id="184" name="Picture"/>
            <a:graphic>
              <a:graphicData uri="http://schemas.openxmlformats.org/drawingml/2006/picture">
                <pic:pic>
                  <pic:nvPicPr>
                    <pic:cNvPr descr="2.Pre-registeredReport_MS1_RL_files/figure-docx/fig-myplot10-1.png" id="185" name="Picture"/>
                    <pic:cNvPicPr>
                      <a:picLocks noChangeArrowheads="1" noChangeAspect="1"/>
                    </pic:cNvPicPr>
                  </pic:nvPicPr>
                  <pic:blipFill>
                    <a:blip r:embed="rId183"/>
                    <a:stretch>
                      <a:fillRect/>
                    </a:stretch>
                  </pic:blipFill>
                  <pic:spPr bwMode="auto">
                    <a:xfrm>
                      <a:off x="0" y="0"/>
                      <a:ext cx="2971800" cy="2971800"/>
                    </a:xfrm>
                    <a:prstGeom prst="rect">
                      <a:avLst/>
                    </a:prstGeom>
                    <a:noFill/>
                    <a:ln w="9525">
                      <a:noFill/>
                      <a:headEnd/>
                      <a:tailEnd/>
                    </a:ln>
                  </pic:spPr>
                </pic:pic>
              </a:graphicData>
            </a:graphic>
          </wp:inline>
        </w:drawing>
      </w:r>
    </w:p>
    <w:bookmarkEnd w:id="186"/>
    <w:bookmarkStart w:id="190" w:name="fig-myplot10-2"/>
    <w:p>
      <w:pPr>
        <w:pStyle w:val="FigureWithoutNote"/>
      </w:pPr>
      <w:r>
        <w:t xml:space="preserve">(B) Specificity</w:t>
      </w:r>
    </w:p>
    <w:p>
      <w:pPr>
        <w:pStyle w:val="FigureWithoutNote"/>
      </w:pPr>
      <w:r>
        <w:drawing>
          <wp:inline>
            <wp:extent cx="2971800" cy="2971800"/>
            <wp:effectExtent b="0" l="0" r="0" t="0"/>
            <wp:docPr descr="" title="" id="188" name="Picture"/>
            <a:graphic>
              <a:graphicData uri="http://schemas.openxmlformats.org/drawingml/2006/picture">
                <pic:pic>
                  <pic:nvPicPr>
                    <pic:cNvPr descr="2.Pre-registeredReport_MS1_RL_files/figure-docx/fig-myplot10-2.png" id="189" name="Picture"/>
                    <pic:cNvPicPr>
                      <a:picLocks noChangeArrowheads="1" noChangeAspect="1"/>
                    </pic:cNvPicPr>
                  </pic:nvPicPr>
                  <pic:blipFill>
                    <a:blip r:embed="rId187"/>
                    <a:stretch>
                      <a:fillRect/>
                    </a:stretch>
                  </pic:blipFill>
                  <pic:spPr bwMode="auto">
                    <a:xfrm>
                      <a:off x="0" y="0"/>
                      <a:ext cx="2971800" cy="2971800"/>
                    </a:xfrm>
                    <a:prstGeom prst="rect">
                      <a:avLst/>
                    </a:prstGeom>
                    <a:noFill/>
                    <a:ln w="9525">
                      <a:noFill/>
                      <a:headEnd/>
                      <a:tailEnd/>
                    </a:ln>
                  </pic:spPr>
                </pic:pic>
              </a:graphicData>
            </a:graphic>
          </wp:inline>
        </w:drawing>
      </w:r>
    </w:p>
    <w:bookmarkEnd w:id="190"/>
    <w:p>
      <w:pPr>
        <w:pStyle w:val="FigureTitle"/>
      </w:pPr>
      <w:r>
        <w:t xml:space="preserve">Figure A5</w:t>
      </w:r>
    </w:p>
    <w:p>
      <w:pPr>
        <w:pStyle w:val="Caption"/>
      </w:pPr>
      <w:r>
        <w:t xml:space="preserve">Lineplots of Sensitivity and Specificity by data source</w:t>
      </w:r>
    </w:p>
    <w:bookmarkEnd w:id="191"/>
    <w:bookmarkEnd w:id="192"/>
    <w:bookmarkStart w:id="197" w:name="sec-sm2-correlation-with-self-report"/>
    <w:p>
      <w:pPr>
        <w:pStyle w:val="Heading2"/>
      </w:pPr>
      <w:r>
        <w:t xml:space="preserve">Appendix 4 Correlation with self-report</w:t>
      </w:r>
    </w:p>
    <w:p>
      <w:pPr>
        <w:pStyle w:val="FirstParagraph"/>
      </w:pPr>
      <w:r>
        <w:t xml:space="preserve">The best criterion should also best correlate with SSS self-reported</w:t>
      </w:r>
      <w:r>
        <w:t xml:space="preserve"> </w:t>
      </w:r>
      <w:r>
        <w:t xml:space="preserve">questionnaire score.</w:t>
      </w:r>
      <w:r>
        <w:br/>
      </w:r>
      <w:r>
        <w:t xml:space="preserve">Works only with Ward’s aggregated data, see</w:t>
      </w:r>
      <w:r>
        <w:t xml:space="preserve"> </w:t>
      </w:r>
      <w:hyperlink w:anchor="fig-myplot6">
        <w:r>
          <w:rPr>
            <w:rStyle w:val="Hyperlink"/>
          </w:rPr>
          <w:t xml:space="preserve">Figure A3</w:t>
        </w:r>
      </w:hyperlink>
      <w:r>
        <w:t xml:space="preserve">.</w:t>
      </w:r>
    </w:p>
    <w:bookmarkStart w:id="196" w:name="fig-myplot8"/>
    <w:p>
      <w:pPr>
        <w:pStyle w:val="FigureTitle"/>
      </w:pPr>
      <w:r>
        <w:t xml:space="preserve">Figure A6</w:t>
      </w:r>
    </w:p>
    <w:p>
      <w:pPr>
        <w:pStyle w:val="Caption"/>
      </w:pPr>
      <w:r>
        <w:t xml:space="preserve">Correlation with self-reported questionnaire</w:t>
      </w:r>
    </w:p>
    <w:p>
      <w:pPr>
        <w:pStyle w:val="FigureWithNote"/>
      </w:pPr>
      <w:r>
        <w:drawing>
          <wp:inline>
            <wp:extent cx="5943600" cy="5943600"/>
            <wp:effectExtent b="0" l="0" r="0" t="0"/>
            <wp:docPr descr="" title="" id="194" name="Picture"/>
            <a:graphic>
              <a:graphicData uri="http://schemas.openxmlformats.org/drawingml/2006/picture">
                <pic:pic>
                  <pic:nvPicPr>
                    <pic:cNvPr descr="2.Pre-registeredReport_MS1_RL_files/figure-docx/fig-myplot8-1.png" id="195" name="Picture"/>
                    <pic:cNvPicPr>
                      <a:picLocks noChangeArrowheads="1" noChangeAspect="1"/>
                    </pic:cNvPicPr>
                  </pic:nvPicPr>
                  <pic:blipFill>
                    <a:blip r:embed="rId193"/>
                    <a:stretch>
                      <a:fillRect/>
                    </a:stretch>
                  </pic:blipFill>
                  <pic:spPr bwMode="auto">
                    <a:xfrm>
                      <a:off x="0" y="0"/>
                      <a:ext cx="5943600" cy="5943600"/>
                    </a:xfrm>
                    <a:prstGeom prst="rect">
                      <a:avLst/>
                    </a:prstGeom>
                    <a:noFill/>
                    <a:ln w="9525">
                      <a:noFill/>
                      <a:headEnd/>
                      <a:tailEnd/>
                    </a:ln>
                  </pic:spPr>
                </pic:pic>
              </a:graphicData>
            </a:graphic>
          </wp:inline>
        </w:drawing>
      </w:r>
    </w:p>
    <w:bookmarkEnd w:id="196"/>
    <w:p>
      <w:pPr>
        <w:pStyle w:val="FigureNote"/>
      </w:pPr>
      <w:r>
        <w:rPr>
          <w:i/>
          <w:iCs/>
        </w:rPr>
        <w:t xml:space="preserve">Note</w:t>
      </w:r>
      <w:r>
        <w:t xml:space="preserve">. Only data from Ward is included here</w:t>
      </w:r>
    </w:p>
    <w:bookmarkEnd w:id="197"/>
    <w:bookmarkStart w:id="198" w:name="X0ca5fcecceae57a6aa6e39337d371377a78e4ff"/>
    <w:p>
      <w:pPr>
        <w:pStyle w:val="Heading2"/>
      </w:pPr>
      <w:r>
        <w:t xml:space="preserve">Appendix 5 Code to visualize all spatial-forms</w:t>
      </w:r>
    </w:p>
    <w:p>
      <w:pPr>
        <w:pStyle w:val="FirstParagraph"/>
      </w:pPr>
      <w:r>
        <w:t xml:space="preserve">This exports many pdf’s. It plots each ID and condition z-score x and y</w:t>
      </w:r>
      <w:r>
        <w:t xml:space="preserve"> </w:t>
      </w:r>
      <w:r>
        <w:t xml:space="preserve">coordinates. Since each coordinate is repeated 3 times, these are</w:t>
      </w:r>
      <w:r>
        <w:t xml:space="preserve"> </w:t>
      </w:r>
      <w:r>
        <w:t xml:space="preserve">represented by triangles. The line paths connect average coordinates to</w:t>
      </w:r>
      <w:r>
        <w:t xml:space="preserve"> </w:t>
      </w:r>
      <w:r>
        <w:t xml:space="preserve">visualize forms (stimulus are ordered, i.e. 1 to 9, Monday to Sunday,</w:t>
      </w:r>
      <w:r>
        <w:t xml:space="preserve"> </w:t>
      </w:r>
      <w:r>
        <w:t xml:space="preserve">January to December). Finally in the top right corner, each dots</w:t>
      </w:r>
      <w:r>
        <w:t xml:space="preserve"> </w:t>
      </w:r>
      <w:r>
        <w:t xml:space="preserve">indicates if the ID would pass (green dot) / fails (red dot) depending</w:t>
      </w:r>
      <w:r>
        <w:t xml:space="preserve"> </w:t>
      </w:r>
      <w:r>
        <w:t xml:space="preserve">on the criteria.</w:t>
      </w:r>
    </w:p>
    <w:bookmarkEnd w:id="198"/>
    <w:bookmarkEnd w:id="199"/>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139" Target="media/rId139.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143" Target="media/rId143.png" /><Relationship Type="http://schemas.openxmlformats.org/officeDocument/2006/relationships/image" Id="rId148" Target="media/rId148.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93" Target="media/rId193.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21" Target="media/rId21.svg" /><Relationship Type="http://schemas.openxmlformats.org/officeDocument/2006/relationships/hyperlink" Id="rId85" Target="https://books.google.bj/books?id=JISQxpcyGUMC" TargetMode="External" /><Relationship Type="http://schemas.openxmlformats.org/officeDocument/2006/relationships/hyperlink" Id="rId43" Target="https://data.ru.nl/collections/di/dcc/DSC_2018.00019_653" TargetMode="External" /><Relationship Type="http://schemas.openxmlformats.org/officeDocument/2006/relationships/hyperlink" Id="rId131" Target="https://doi.org/10.1002/1097-0142(1950)3:1&lt;32::aid-cncr2820030106&gt;3.0.co;2-3" TargetMode="External" /><Relationship Type="http://schemas.openxmlformats.org/officeDocument/2006/relationships/hyperlink" Id="rId73" Target="https://doi.org/10.1007/s10339-013-0561-5" TargetMode="External" /><Relationship Type="http://schemas.openxmlformats.org/officeDocument/2006/relationships/hyperlink" Id="rId114" Target="https://doi.org/10.1016/0010-0277(92)90053-K" TargetMode="External" /><Relationship Type="http://schemas.openxmlformats.org/officeDocument/2006/relationships/hyperlink" Id="rId112" Target="https://doi.org/10.1016/j.cognition.2005.09.004" TargetMode="External" /><Relationship Type="http://schemas.openxmlformats.org/officeDocument/2006/relationships/hyperlink" Id="rId118" Target="https://doi.org/10.1016/j.concog.2006.06.013" TargetMode="External" /><Relationship Type="http://schemas.openxmlformats.org/officeDocument/2006/relationships/hyperlink" Id="rId75" Target="https://doi.org/10.1016/j.concog.2010.01.003" TargetMode="External" /><Relationship Type="http://schemas.openxmlformats.org/officeDocument/2006/relationships/hyperlink" Id="rId127" Target="https://doi.org/10.1016/j.concog.2018.03.012" TargetMode="External" /><Relationship Type="http://schemas.openxmlformats.org/officeDocument/2006/relationships/hyperlink" Id="rId103" Target="https://doi.org/10.1016/j.concog.2021.103192" TargetMode="External" /><Relationship Type="http://schemas.openxmlformats.org/officeDocument/2006/relationships/hyperlink" Id="rId105" Target="https://doi.org/10.1016/j.concog.2025.103819" TargetMode="External" /><Relationship Type="http://schemas.openxmlformats.org/officeDocument/2006/relationships/hyperlink" Id="rId92" Target="https://doi.org/10.1016/j.cortex.2009.05.014" TargetMode="External" /><Relationship Type="http://schemas.openxmlformats.org/officeDocument/2006/relationships/hyperlink" Id="rId81" Target="https://doi.org/10.1016/j.cortex.2009.06.012" TargetMode="External" /><Relationship Type="http://schemas.openxmlformats.org/officeDocument/2006/relationships/hyperlink" Id="rId120" Target="https://doi.org/10.1016/j.cortex.2020.04.034" TargetMode="External" /><Relationship Type="http://schemas.openxmlformats.org/officeDocument/2006/relationships/hyperlink" Id="rId110" Target="https://doi.org/10.1016/j.jneumeth.2013.02.009" TargetMode="External" /><Relationship Type="http://schemas.openxmlformats.org/officeDocument/2006/relationships/hyperlink" Id="rId83" Target="https://doi.org/10.1016/j.tics.2009.03.009" TargetMode="External" /><Relationship Type="http://schemas.openxmlformats.org/officeDocument/2006/relationships/hyperlink" Id="rId87" Target="https://doi.org/10.1038/021252a0" TargetMode="External" /><Relationship Type="http://schemas.openxmlformats.org/officeDocument/2006/relationships/hyperlink" Id="rId71" Target="https://doi.org/10.1068/p220419" TargetMode="External" /><Relationship Type="http://schemas.openxmlformats.org/officeDocument/2006/relationships/hyperlink" Id="rId129" Target="https://doi.org/10.1177/03010066211070761" TargetMode="External" /><Relationship Type="http://schemas.openxmlformats.org/officeDocument/2006/relationships/hyperlink" Id="rId116" Target="https://doi.org/10.1348/000712610X528305" TargetMode="External" /><Relationship Type="http://schemas.openxmlformats.org/officeDocument/2006/relationships/hyperlink" Id="rId96" Target="https://doi.org/10.1523/JNEUROSCI.1775-13.2013" TargetMode="External" /><Relationship Type="http://schemas.openxmlformats.org/officeDocument/2006/relationships/hyperlink" Id="rId123" Target="https://doi.org/10.31234/osf.io/5cnr7" TargetMode="External" /><Relationship Type="http://schemas.openxmlformats.org/officeDocument/2006/relationships/hyperlink" Id="rId98" Target="https://doi.org/10.32614/RJ-2018-009" TargetMode="External" /><Relationship Type="http://schemas.openxmlformats.org/officeDocument/2006/relationships/hyperlink" Id="rId101" Target="https://doi.org/10.3389/fnhum.2013.00689" TargetMode="External" /><Relationship Type="http://schemas.openxmlformats.org/officeDocument/2006/relationships/hyperlink" Id="rId89" Target="https://doi.org/10.3389/fnhum.2014.00433" TargetMode="External" /><Relationship Type="http://schemas.openxmlformats.org/officeDocument/2006/relationships/hyperlink" Id="rId94" Target="https://doi.org/10.3389/fpsyg.2014.01171" TargetMode="External" /><Relationship Type="http://schemas.openxmlformats.org/officeDocument/2006/relationships/hyperlink" Id="rId79" Target="https://doi.org/10.3758/CABN.4.3.335" TargetMode="External" /><Relationship Type="http://schemas.openxmlformats.org/officeDocument/2006/relationships/hyperlink" Id="rId77" Target="https://doi.org/10.3758/s13423-013-0387-2" TargetMode="External" /><Relationship Type="http://schemas.openxmlformats.org/officeDocument/2006/relationships/hyperlink" Id="rId107" Target="https://doi.org/10.3758/s13428-015-0656-2" TargetMode="External" /><Relationship Type="http://schemas.openxmlformats.org/officeDocument/2006/relationships/hyperlink" Id="rId49" Target="https://github.com/remLach/SpaceSequenceSynDiagnostic" TargetMode="External" /><Relationship Type="http://schemas.openxmlformats.org/officeDocument/2006/relationships/hyperlink" Id="rId29" Target="https://orcid.org/0000-0002-0074-4371" TargetMode="External" /><Relationship Type="http://schemas.openxmlformats.org/officeDocument/2006/relationships/hyperlink" Id="rId25" Target="https://orcid.org/0000-0002-8485-7153" TargetMode="External" /><Relationship Type="http://schemas.openxmlformats.org/officeDocument/2006/relationships/hyperlink" Id="rId33" Target="https://orcid.org/0000-0002-8874-8341" TargetMode="External" /><Relationship Type="http://schemas.openxmlformats.org/officeDocument/2006/relationships/hyperlink" Id="rId125" Target="https://osf.io/5cnr7_v1" TargetMode="External" /><Relationship Type="http://schemas.openxmlformats.org/officeDocument/2006/relationships/hyperlink" Id="rId64" Target="https://osf.io/6h8dx" TargetMode="External" /><Relationship Type="http://schemas.openxmlformats.org/officeDocument/2006/relationships/hyperlink" Id="rId42" Target="https://osf.io/6hq94/files/osfstorage" TargetMode="External" /><Relationship Type="http://schemas.openxmlformats.org/officeDocument/2006/relationships/hyperlink" Id="rId39" Target="https://osf.io/9efjb/" TargetMode="External" /><Relationship Type="http://schemas.openxmlformats.org/officeDocument/2006/relationships/hyperlink" Id="rId44" Target="https://osf.io/nu5v4/overview" TargetMode="External" /><Relationship Type="http://schemas.openxmlformats.org/officeDocument/2006/relationships/hyperlink" Id="rId63" Target="https://osf.io/pjb6e/?view_only=d467ebf4c1f94076ae4ac61298255065" TargetMode="External" /><Relationship Type="http://schemas.openxmlformats.org/officeDocument/2006/relationships/hyperlink" Id="rId34" Target="mailto:remy.lachelin@fernuni.ch" TargetMode="External" /></Relationships>
</file>

<file path=word/_rels/footnotes.xml.rels><?xml version="1.0" encoding="UTF-8"?><Relationships xmlns="http://schemas.openxmlformats.org/package/2006/relationships"><Relationship Type="http://schemas.openxmlformats.org/officeDocument/2006/relationships/hyperlink" Id="rId85" Target="https://books.google.bj/books?id=JISQxpcyGUMC" TargetMode="External" /><Relationship Type="http://schemas.openxmlformats.org/officeDocument/2006/relationships/hyperlink" Id="rId43" Target="https://data.ru.nl/collections/di/dcc/DSC_2018.00019_653" TargetMode="External" /><Relationship Type="http://schemas.openxmlformats.org/officeDocument/2006/relationships/hyperlink" Id="rId131" Target="https://doi.org/10.1002/1097-0142(1950)3:1&lt;32::aid-cncr2820030106&gt;3.0.co;2-3" TargetMode="External" /><Relationship Type="http://schemas.openxmlformats.org/officeDocument/2006/relationships/hyperlink" Id="rId73" Target="https://doi.org/10.1007/s10339-013-0561-5" TargetMode="External" /><Relationship Type="http://schemas.openxmlformats.org/officeDocument/2006/relationships/hyperlink" Id="rId114" Target="https://doi.org/10.1016/0010-0277(92)90053-K" TargetMode="External" /><Relationship Type="http://schemas.openxmlformats.org/officeDocument/2006/relationships/hyperlink" Id="rId112" Target="https://doi.org/10.1016/j.cognition.2005.09.004" TargetMode="External" /><Relationship Type="http://schemas.openxmlformats.org/officeDocument/2006/relationships/hyperlink" Id="rId118" Target="https://doi.org/10.1016/j.concog.2006.06.013" TargetMode="External" /><Relationship Type="http://schemas.openxmlformats.org/officeDocument/2006/relationships/hyperlink" Id="rId75" Target="https://doi.org/10.1016/j.concog.2010.01.003" TargetMode="External" /><Relationship Type="http://schemas.openxmlformats.org/officeDocument/2006/relationships/hyperlink" Id="rId127" Target="https://doi.org/10.1016/j.concog.2018.03.012" TargetMode="External" /><Relationship Type="http://schemas.openxmlformats.org/officeDocument/2006/relationships/hyperlink" Id="rId103" Target="https://doi.org/10.1016/j.concog.2021.103192" TargetMode="External" /><Relationship Type="http://schemas.openxmlformats.org/officeDocument/2006/relationships/hyperlink" Id="rId105" Target="https://doi.org/10.1016/j.concog.2025.103819" TargetMode="External" /><Relationship Type="http://schemas.openxmlformats.org/officeDocument/2006/relationships/hyperlink" Id="rId92" Target="https://doi.org/10.1016/j.cortex.2009.05.014" TargetMode="External" /><Relationship Type="http://schemas.openxmlformats.org/officeDocument/2006/relationships/hyperlink" Id="rId81" Target="https://doi.org/10.1016/j.cortex.2009.06.012" TargetMode="External" /><Relationship Type="http://schemas.openxmlformats.org/officeDocument/2006/relationships/hyperlink" Id="rId120" Target="https://doi.org/10.1016/j.cortex.2020.04.034" TargetMode="External" /><Relationship Type="http://schemas.openxmlformats.org/officeDocument/2006/relationships/hyperlink" Id="rId110" Target="https://doi.org/10.1016/j.jneumeth.2013.02.009" TargetMode="External" /><Relationship Type="http://schemas.openxmlformats.org/officeDocument/2006/relationships/hyperlink" Id="rId83" Target="https://doi.org/10.1016/j.tics.2009.03.009" TargetMode="External" /><Relationship Type="http://schemas.openxmlformats.org/officeDocument/2006/relationships/hyperlink" Id="rId87" Target="https://doi.org/10.1038/021252a0" TargetMode="External" /><Relationship Type="http://schemas.openxmlformats.org/officeDocument/2006/relationships/hyperlink" Id="rId71" Target="https://doi.org/10.1068/p220419" TargetMode="External" /><Relationship Type="http://schemas.openxmlformats.org/officeDocument/2006/relationships/hyperlink" Id="rId129" Target="https://doi.org/10.1177/03010066211070761" TargetMode="External" /><Relationship Type="http://schemas.openxmlformats.org/officeDocument/2006/relationships/hyperlink" Id="rId116" Target="https://doi.org/10.1348/000712610X528305" TargetMode="External" /><Relationship Type="http://schemas.openxmlformats.org/officeDocument/2006/relationships/hyperlink" Id="rId96" Target="https://doi.org/10.1523/JNEUROSCI.1775-13.2013" TargetMode="External" /><Relationship Type="http://schemas.openxmlformats.org/officeDocument/2006/relationships/hyperlink" Id="rId123" Target="https://doi.org/10.31234/osf.io/5cnr7" TargetMode="External" /><Relationship Type="http://schemas.openxmlformats.org/officeDocument/2006/relationships/hyperlink" Id="rId98" Target="https://doi.org/10.32614/RJ-2018-009" TargetMode="External" /><Relationship Type="http://schemas.openxmlformats.org/officeDocument/2006/relationships/hyperlink" Id="rId101" Target="https://doi.org/10.3389/fnhum.2013.00689" TargetMode="External" /><Relationship Type="http://schemas.openxmlformats.org/officeDocument/2006/relationships/hyperlink" Id="rId89" Target="https://doi.org/10.3389/fnhum.2014.00433" TargetMode="External" /><Relationship Type="http://schemas.openxmlformats.org/officeDocument/2006/relationships/hyperlink" Id="rId94" Target="https://doi.org/10.3389/fpsyg.2014.01171" TargetMode="External" /><Relationship Type="http://schemas.openxmlformats.org/officeDocument/2006/relationships/hyperlink" Id="rId79" Target="https://doi.org/10.3758/CABN.4.3.335" TargetMode="External" /><Relationship Type="http://schemas.openxmlformats.org/officeDocument/2006/relationships/hyperlink" Id="rId77" Target="https://doi.org/10.3758/s13423-013-0387-2" TargetMode="External" /><Relationship Type="http://schemas.openxmlformats.org/officeDocument/2006/relationships/hyperlink" Id="rId107" Target="https://doi.org/10.3758/s13428-015-0656-2" TargetMode="External" /><Relationship Type="http://schemas.openxmlformats.org/officeDocument/2006/relationships/hyperlink" Id="rId49" Target="https://github.com/remLach/SpaceSequenceSynDiagnostic" TargetMode="External" /><Relationship Type="http://schemas.openxmlformats.org/officeDocument/2006/relationships/hyperlink" Id="rId29" Target="https://orcid.org/0000-0002-0074-4371" TargetMode="External" /><Relationship Type="http://schemas.openxmlformats.org/officeDocument/2006/relationships/hyperlink" Id="rId25" Target="https://orcid.org/0000-0002-8485-7153" TargetMode="External" /><Relationship Type="http://schemas.openxmlformats.org/officeDocument/2006/relationships/hyperlink" Id="rId33" Target="https://orcid.org/0000-0002-8874-8341" TargetMode="External" /><Relationship Type="http://schemas.openxmlformats.org/officeDocument/2006/relationships/hyperlink" Id="rId125" Target="https://osf.io/5cnr7_v1" TargetMode="External" /><Relationship Type="http://schemas.openxmlformats.org/officeDocument/2006/relationships/hyperlink" Id="rId64" Target="https://osf.io/6h8dx" TargetMode="External" /><Relationship Type="http://schemas.openxmlformats.org/officeDocument/2006/relationships/hyperlink" Id="rId42" Target="https://osf.io/6hq94/files/osfstorage" TargetMode="External" /><Relationship Type="http://schemas.openxmlformats.org/officeDocument/2006/relationships/hyperlink" Id="rId39" Target="https://osf.io/9efjb/" TargetMode="External" /><Relationship Type="http://schemas.openxmlformats.org/officeDocument/2006/relationships/hyperlink" Id="rId44" Target="https://osf.io/nu5v4/overview" TargetMode="External" /><Relationship Type="http://schemas.openxmlformats.org/officeDocument/2006/relationships/hyperlink" Id="rId63" Target="https://osf.io/pjb6e/?view_only=d467ebf4c1f94076ae4ac61298255065" TargetMode="External" /><Relationship Type="http://schemas.openxmlformats.org/officeDocument/2006/relationships/hyperlink" Id="rId34" Target="mailto:remy.lachelin@fernuni.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MY PAPER’S TITLE</dc:description>
  <cp:keywords>Sequence space synaesthesia, Synaesthesia/synesthesia, consistency test, space, time, numbers</cp:keywords>
  <dcterms:created xsi:type="dcterms:W3CDTF">2025-12-23T14:07:08Z</dcterms:created>
  <dcterms:modified xsi:type="dcterms:W3CDTF">2025-12-23T14:07:08Z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Sequence–space synaesthesia (SSS) is the experience reported by some people of spatial forms elicited by ordered symbolic sequences. SSS is identified using self-reports (e.g. questionnaires) and behavioural consistency tests. Existing consistency test’s diagnostic features focus on stimulus-specific metrics of the distance between repeated responses to the same stimuli, therefore overlooking ordinal and geometric properties of spatial-forms. In the phase I of this preregistered study, we attempt at optimizing SSS diagnostics from consistency test by extracting novel geometric features on a spatial-form level. We evaluate classification performances of old and new features in a large (N = 685) aggregated sample from three independent datasets. We harness a geographic toolbox to quantify topological spatial-forms. Receiver operating characteristic (ROC) analyses are conducted to assess discriminative performances of each features. The results show that permuted topological validity of the spatial-forms and perimeter between stimuli performs equally well in detecting SSS. In phase II, we will examine predictive validity of the selected features on an independent dataset that has yet to be collected. Phase I findings highlight the relevance of topological principles for sequence-space representations and attempts at optimizing consistency tests’s ability at detecting SSS.</vt:lpwstr>
  </property>
  <property fmtid="{D5CDD505-2E9C-101B-9397-08002B2CF9AE}" pid="5" name="apaauthor">
    <vt:lpwstr/>
  </property>
  <property fmtid="{D5CDD505-2E9C-101B-9397-08002B2CF9AE}" pid="6" name="apatitle">
    <vt:lpwstr>Pre-registered report: Mapping Synesthetic Sequences in Space: Improving Consistency Test by Harnessing Cartography Tools.</vt:lpwstr>
  </property>
  <property fmtid="{D5CDD505-2E9C-101B-9397-08002B2CF9AE}" pid="7" name="apatitledisplay">
    <vt:lpwstr>Pre-registered report: Mapping Synesthetic Sequences in Space: Improving Consistency Test by Harnessing Cartography Tools.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
    <vt:lpwstr/>
  </property>
  <property fmtid="{D5CDD505-2E9C-101B-9397-08002B2CF9AE}" pid="18" name="execute">
    <vt:lpwstr/>
  </property>
  <property fmtid="{D5CDD505-2E9C-101B-9397-08002B2CF9AE}" pid="19" name="fig-cap-location">
    <vt:lpwstr>top</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horttitle">
    <vt:lpwstr>MY PAPER’S TITLE</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4808</vt:lpwstr>
  </property>
  <property fmtid="{D5CDD505-2E9C-101B-9397-08002B2CF9AE}" pid="62" name="zerocitations">
    <vt:lpwstr>False</vt:lpwstr>
  </property>
</Properties>
</file>