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5.png" ContentType="image/png"/>
  <Override PartName="/word/media/rId66.png" ContentType="image/png"/>
  <Override PartName="/word/media/rId69.png" ContentType="image/png"/>
  <Override PartName="/word/media/rId62.png" ContentType="image/png"/>
  <Override PartName="/word/media/rId59.png" ContentType="image/png"/>
  <Override PartName="/word/media/rId9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Pre-registered report: Space Sequence Synesthesia Diagnostic using form mapping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Rémy Lachelin, Chhavi Sachadva, and Nicolas Rothen</w:t>
      </w:r>
    </w:p>
    <w:p>
      <w:pPr>
        <w:pStyle w:val="Author"/>
      </w:pPr>
      <w:r>
        <w:t xml:space="preserve">Psychology, Uni Distance Suisse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33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Rémy Lachelin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Chhavi Sachadva</w:t>
      </w:r>
      <w:r>
        <w:t xml:space="preserve"> </w:t>
      </w:r>
      <w:bookmarkStart w:id="28" w:name="orchid"/>
      <w:r>
        <w:drawing>
          <wp:inline>
            <wp:extent cx="152279" cy="152279"/>
            <wp:effectExtent b="0" l="0" r="0" t="0"/>
            <wp:docPr descr="Orcid ID Logo: A green circle with white letters ID" title="" id="26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Nicolas Rothen</w:t>
      </w:r>
      <w:r>
        <w:t xml:space="preserve"> </w:t>
      </w:r>
      <w:bookmarkStart w:id="31" w:name="orchid"/>
      <w:r>
        <w:drawing>
          <wp:inline>
            <wp:extent cx="152279" cy="152279"/>
            <wp:effectExtent b="0" l="0" r="0" t="0"/>
            <wp:docPr descr="Orcid ID Logo: A green circle with white letters ID" title="" id="29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Correspondence concerning this article should be addressed to Rémy Lachelin, Psychology, Uni Distance Suisse, Brig road, Brig, Valais 0, Email:</w:t>
      </w:r>
      <w:r>
        <w:t xml:space="preserve"> </w:t>
      </w:r>
      <w:hyperlink r:id="rId32">
        <w:r>
          <w:rPr>
            <w:rStyle w:val="Hyperlink"/>
          </w:rPr>
          <w:t xml:space="preserve">remy.lachelin@fernuni.ch</w:t>
        </w:r>
      </w:hyperlink>
    </w:p>
    <w:p>
      <w:r>
        <w:br w:type="page"/>
      </w:r>
    </w:p>
    <w:bookmarkEnd w:id="33"/>
    <w:bookmarkStart w:id="34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is my abstract.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Space sequence synesthesia, consistency</w:t>
      </w:r>
    </w:p>
    <w:p>
      <w:r>
        <w:br w:type="page"/>
      </w:r>
    </w:p>
    <w:bookmarkEnd w:id="34"/>
    <w:bookmarkStart w:id="35" w:name="firstheader"/>
    <w:p>
      <w:pPr>
        <w:pStyle w:val="Heading1"/>
      </w:pPr>
      <w:r>
        <w:t xml:space="preserve">Pre-registered report: Space Sequence Synesthesia Diagnostic using form mapping</w:t>
      </w:r>
    </w:p>
    <w:bookmarkEnd w:id="35"/>
    <w:bookmarkStart w:id="36" w:name="abstract"/>
    <w:p>
      <w:pPr>
        <w:pStyle w:val="Heading1"/>
      </w:pPr>
      <w:r>
        <w:t xml:space="preserve">Abstract:</w:t>
      </w:r>
    </w:p>
    <w:p>
      <w:pPr>
        <w:pStyle w:val="FirstParagraph"/>
      </w:pPr>
      <w:r>
        <w:t xml:space="preserve">Sequence space synesthesia is the phenomenon of representing ordered</w:t>
      </w:r>
      <w:r>
        <w:t xml:space="preserve"> </w:t>
      </w:r>
      <w:r>
        <w:t xml:space="preserve">visual symbols in particular spatial positions. Not everyone has space</w:t>
      </w:r>
      <w:r>
        <w:t xml:space="preserve"> </w:t>
      </w:r>
      <w:r>
        <w:t xml:space="preserve">sequence synesthesia. Existent tools to detect space sequence</w:t>
      </w:r>
      <w:r>
        <w:t xml:space="preserve"> </w:t>
      </w:r>
      <w:r>
        <w:t xml:space="preserve">synesthesia are based on self-reports (i.e. questionnaire) and response</w:t>
      </w:r>
      <w:r>
        <w:t xml:space="preserve"> </w:t>
      </w:r>
      <w:r>
        <w:t xml:space="preserve">consistency. Consistency can be derived on the stimulus level, i.e.</w:t>
      </w:r>
      <w:r>
        <w:t xml:space="preserve"> </w:t>
      </w:r>
      <w:r>
        <w:t xml:space="preserve">spatial deviation in time, or on the form level, i.e. geometrical</w:t>
      </w:r>
      <w:r>
        <w:t xml:space="preserve"> </w:t>
      </w:r>
      <w:r>
        <w:t xml:space="preserve">properties. In this pre-registered report, available data from 666</w:t>
      </w:r>
      <w:r>
        <w:t xml:space="preserve"> </w:t>
      </w:r>
      <w:r>
        <w:t xml:space="preserve">participants is used to explore new tools to discriminate syntheses from</w:t>
      </w:r>
      <w:r>
        <w:t xml:space="preserve"> </w:t>
      </w:r>
      <w:r>
        <w:t xml:space="preserve">controls. Conceptually, the novel criteria aim at taking advantage of</w:t>
      </w:r>
      <w:r>
        <w:t xml:space="preserve"> </w:t>
      </w:r>
      <w:r>
        <w:t xml:space="preserve">the inducer’s ordinality that create synesthetic forms. For this aim, we</w:t>
      </w:r>
      <w:r>
        <w:t xml:space="preserve"> </w:t>
      </w:r>
      <w:r>
        <w:t xml:space="preserve">harness a geography package to extract geometrical features to use as a</w:t>
      </w:r>
      <w:r>
        <w:t xml:space="preserve"> </w:t>
      </w:r>
      <w:r>
        <w:t xml:space="preserve">test for synesthesia. Reciever Operator Characteristics are used to</w:t>
      </w:r>
      <w:r>
        <w:t xml:space="preserve"> </w:t>
      </w:r>
      <w:r>
        <w:t xml:space="preserve">select the features that best classify the groups. In a second phase, we</w:t>
      </w:r>
      <w:r>
        <w:t xml:space="preserve"> </w:t>
      </w:r>
      <w:r>
        <w:t xml:space="preserve">will test the predictive power of the new diagnostic features on an</w:t>
      </w:r>
      <w:r>
        <w:t xml:space="preserve"> </w:t>
      </w:r>
      <w:r>
        <w:t xml:space="preserve">additional dataset that has yet to be collected.</w:t>
      </w:r>
    </w:p>
    <w:bookmarkEnd w:id="36"/>
    <w:bookmarkStart w:id="3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Sequence Space Synesthesia (SSS) or visuospatial forms is the phenomenon</w:t>
      </w:r>
      <w:r>
        <w:t xml:space="preserve"> </w:t>
      </w:r>
      <w:r>
        <w:t xml:space="preserve">where ordered sequences trigger associations in specific spatial</w:t>
      </w:r>
      <w:r>
        <w:t xml:space="preserve"> </w:t>
      </w:r>
      <w:r>
        <w:t xml:space="preserve">positions. For example, numbers, weekdays or months (synesthetic</w:t>
      </w:r>
      <w:r>
        <w:t xml:space="preserve"> </w:t>
      </w:r>
      <w:r>
        <w:rPr>
          <w:i/>
          <w:iCs/>
        </w:rPr>
        <w:t xml:space="preserve">inducers</w:t>
      </w:r>
      <w:r>
        <w:t xml:space="preserve">) are represented as arranged into specific spatial positions</w:t>
      </w:r>
      <w:r>
        <w:t xml:space="preserve"> </w:t>
      </w:r>
      <w:r>
        <w:t xml:space="preserve">or forms (synesthetic</w:t>
      </w:r>
      <w:r>
        <w:t xml:space="preserve"> </w:t>
      </w:r>
      <w:r>
        <w:rPr>
          <w:i/>
          <w:iCs/>
        </w:rPr>
        <w:t xml:space="preserve">concurrent</w:t>
      </w:r>
      <w:r>
        <w:t xml:space="preserve">).</w:t>
      </w:r>
    </w:p>
    <w:p>
      <w:pPr>
        <w:pStyle w:val="BodyText"/>
      </w:pPr>
      <w:r>
        <w:t xml:space="preserve">The spatial representation of the concurrent can be on a peripersonal</w:t>
      </w:r>
      <w:r>
        <w:t xml:space="preserve"> </w:t>
      </w:r>
      <w:r>
        <w:t xml:space="preserve">space around the body (i.e. projector) or internal (i.e. associator)</w:t>
      </w:r>
      <w:r>
        <w:t xml:space="preserve"> </w:t>
      </w:r>
      <w:r>
        <w:t xml:space="preserve">(</w:t>
      </w:r>
      <w:hyperlink w:anchor="ref-dixon2004">
        <w:r>
          <w:rPr>
            <w:rStyle w:val="Hyperlink"/>
          </w:rPr>
          <w:t xml:space="preserve">Dixon et al., 2004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(</w:t>
      </w:r>
      <w:hyperlink w:anchor="ref-brang2010">
        <w:r>
          <w:rPr>
            <w:rStyle w:val="Hyperlink"/>
          </w:rPr>
          <w:t xml:space="preserve">Brang et al., 2010</w:t>
        </w:r>
      </w:hyperlink>
      <w:r>
        <w:t xml:space="preserve">)</w:t>
      </w:r>
      <w:r>
        <w:t xml:space="preserve"> </w:t>
      </w:r>
      <w:r>
        <w:t xml:space="preserve">evaluated consistent responses when the distance between</w:t>
      </w:r>
      <w:r>
        <w:t xml:space="preserve"> </w:t>
      </w:r>
      <w:r>
        <w:t xml:space="preserve">same stimuli (i.e. January and January) was within 1.96 z-scores</w:t>
      </w:r>
      <w:r>
        <w:t xml:space="preserve"> </w:t>
      </w:r>
      <w:r>
        <w:t xml:space="preserve">compared to the adjacent stimuli (i.e. February). This criteria might</w:t>
      </w:r>
      <w:r>
        <w:t xml:space="preserve"> </w:t>
      </w:r>
      <w:r>
        <w:t xml:space="preserve">however be to conservatory since it detected synesthesia in 4 of 81</w:t>
      </w:r>
      <w:r>
        <w:t xml:space="preserve"> </w:t>
      </w:r>
      <w:r>
        <w:t xml:space="preserve">self-reported synesthetes.</w:t>
      </w:r>
    </w:p>
    <w:p>
      <w:pPr>
        <w:pStyle w:val="BodyText"/>
      </w:pPr>
      <w:r>
        <w:t xml:space="preserve">(</w:t>
      </w:r>
      <w:hyperlink w:anchor="ref-seron1992a">
        <w:r>
          <w:rPr>
            <w:rStyle w:val="Hyperlink"/>
          </w:rPr>
          <w:t xml:space="preserve">Seron et al., 1992</w:t>
        </w:r>
      </w:hyperlink>
      <w:r>
        <w:t xml:space="preserve">)</w:t>
      </w:r>
    </w:p>
    <w:p>
      <w:pPr>
        <w:pStyle w:val="BodyText"/>
      </w:pPr>
      <w:r>
        <w:t xml:space="preserve">Different questionnaires and tests have been developed to pull apart</w:t>
      </w:r>
      <w:r>
        <w:t xml:space="preserve"> </w:t>
      </w:r>
      <w:r>
        <w:t xml:space="preserve">people with SSS and without. On one side, subjective questionnaire are</w:t>
      </w:r>
      <w:r>
        <w:t xml:space="preserve"> </w:t>
      </w:r>
      <w:r>
        <w:t xml:space="preserve">self-reported and therefore rely on the assumption that synesthetic</w:t>
      </w:r>
      <w:r>
        <w:t xml:space="preserve"> </w:t>
      </w:r>
      <w:r>
        <w:t xml:space="preserve">experiences are conscious and occur early in the development. On the</w:t>
      </w:r>
      <w:r>
        <w:t xml:space="preserve"> </w:t>
      </w:r>
      <w:r>
        <w:t xml:space="preserve">other side, objective tests have been developed on the assumption that</w:t>
      </w:r>
      <w:r>
        <w:t xml:space="preserve"> </w:t>
      </w:r>
      <w:r>
        <w:t xml:space="preserve">synesthetic experiences are automatic, unidirectional and consistent in</w:t>
      </w:r>
      <w:r>
        <w:t xml:space="preserve"> </w:t>
      </w:r>
      <w:r>
        <w:t xml:space="preserve">time. Unidirectionalty means that while the inducer triggers the</w:t>
      </w:r>
      <w:r>
        <w:t xml:space="preserve"> </w:t>
      </w:r>
      <w:r>
        <w:t xml:space="preserve">concurrent, the concurrent does not trigger the inducer</w:t>
      </w:r>
      <w:r>
        <w:t xml:space="preserve"> </w:t>
      </w:r>
      <w:r>
        <w:t xml:space="preserve">Deroy and Spence (</w:t>
      </w:r>
      <w:hyperlink w:anchor="ref-deroy2013">
        <w:r>
          <w:rPr>
            <w:rStyle w:val="Hyperlink"/>
          </w:rPr>
          <w:t xml:space="preserve">2013</w:t>
        </w:r>
      </w:hyperlink>
      <w:r>
        <w:t xml:space="preserve">)</w:t>
      </w:r>
      <w:r>
        <w:t xml:space="preserve">].</w:t>
      </w:r>
      <w:r>
        <w:t xml:space="preserve"> </w:t>
      </w:r>
      <w:r>
        <w:t xml:space="preserve">Consistency means concurrent’s of the same inducer are stable in time.</w:t>
      </w:r>
      <w:r>
        <w:t xml:space="preserve"> </w:t>
      </w:r>
      <w:r>
        <w:t xml:space="preserve">Currently, consistency tests are used as an objective measures to</w:t>
      </w:r>
      <w:r>
        <w:t xml:space="preserve"> </w:t>
      </w:r>
      <w:r>
        <w:t xml:space="preserve">validate self-reported synesthesia.</w:t>
      </w:r>
    </w:p>
    <w:p>
      <w:pPr>
        <w:pStyle w:val="BodyText"/>
      </w:pPr>
      <w:r>
        <w:t xml:space="preserve">Consistency tests rely on tasks allowing a precise report of the</w:t>
      </w:r>
      <w:r>
        <w:t xml:space="preserve"> </w:t>
      </w:r>
      <w:r>
        <w:t xml:space="preserve">concurrent. For example using colour-pickers to differentiate</w:t>
      </w:r>
      <w:r>
        <w:t xml:space="preserve"> </w:t>
      </w:r>
      <w:r>
        <w:t xml:space="preserve">self-reported color-grapheme, in this task an inducer is presented (i.e.</w:t>
      </w:r>
      <w:r>
        <w:t xml:space="preserve"> </w:t>
      </w:r>
      <w:r>
        <w:t xml:space="preserve">the letter</w:t>
      </w:r>
      <w:r>
        <w:t xml:space="preserve"> </w:t>
      </w:r>
      <w:r>
        <w:t xml:space="preserve">“A”</w:t>
      </w:r>
      <w:r>
        <w:t xml:space="preserve">) accompanied by a colour wheel, which the participant can</w:t>
      </w:r>
      <w:r>
        <w:t xml:space="preserve"> </w:t>
      </w:r>
      <w:r>
        <w:t xml:space="preserve">manually adjust the characteristics. Using a particular distance (i.e.</w:t>
      </w:r>
      <w:r>
        <w:t xml:space="preserve"> </w:t>
      </w:r>
      <w:r>
        <w:t xml:space="preserve">euclidean) in color space (i.e. CIELUV which was designed for perceptual</w:t>
      </w:r>
      <w:r>
        <w:t xml:space="preserve"> </w:t>
      </w:r>
      <w:r>
        <w:t xml:space="preserve">uniformity) between the repeated responses has led to satisfactory</w:t>
      </w:r>
      <w:r>
        <w:t xml:space="preserve"> </w:t>
      </w:r>
      <w:r>
        <w:t xml:space="preserve">accuracy</w:t>
      </w:r>
      <w:r>
        <w:t xml:space="preserve"> </w:t>
      </w:r>
      <w:r>
        <w:t xml:space="preserve">(</w:t>
      </w:r>
      <w:hyperlink w:anchor="ref-rothen2013a">
        <w:r>
          <w:rPr>
            <w:rStyle w:val="Hyperlink"/>
          </w:rPr>
          <w:t xml:space="preserve">Rothen et al., 2013</w:t>
        </w:r>
      </w:hyperlink>
      <w:r>
        <w:t xml:space="preserve">)</w:t>
      </w:r>
      <w:r>
        <w:t xml:space="preserve">. Consistency for SSS has followed a similar</w:t>
      </w:r>
      <w:r>
        <w:t xml:space="preserve"> </w:t>
      </w:r>
      <w:r>
        <w:t xml:space="preserve">design: participants have to position the potential inducer on a</w:t>
      </w:r>
      <w:r>
        <w:t xml:space="preserve"> </w:t>
      </w:r>
      <w:r>
        <w:t xml:space="preserve">computer screen . A measure of consistency between the x and y</w:t>
      </w:r>
      <w:r>
        <w:t xml:space="preserve"> </w:t>
      </w:r>
      <w:r>
        <w:t xml:space="preserve">coordinates is then compared. The total area between the responses of</w:t>
      </w:r>
      <w:r>
        <w:t xml:space="preserve"> </w:t>
      </w:r>
      <w:r>
        <w:t xml:space="preserve">same inducer has been suggested to be used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One general caveat for consistency tasks, is that synesthetic forms are</w:t>
      </w:r>
      <w:r>
        <w:t xml:space="preserve"> </w:t>
      </w:r>
      <w:r>
        <w:t xml:space="preserve">idiosyncratic. In other words, the inducer-concurrent pairs might lead</w:t>
      </w:r>
      <w:r>
        <w:t xml:space="preserve"> </w:t>
      </w:r>
      <w:r>
        <w:t xml:space="preserve">to form. Hence consistency tests have been developed on a the level of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However discriminating synesthesia using total area has several</w:t>
      </w:r>
      <w:r>
        <w:t xml:space="preserve"> </w:t>
      </w:r>
      <w:r>
        <w:t xml:space="preserve">limitations. For example high consistency by non-synesthetes can be</w:t>
      </w:r>
      <w:r>
        <w:t xml:space="preserve"> </w:t>
      </w:r>
      <w:r>
        <w:t xml:space="preserve">achieved by giving all responses on the same screen position (i.e. false</w:t>
      </w:r>
      <w:r>
        <w:t xml:space="preserve"> </w:t>
      </w:r>
      <w:r>
        <w:t xml:space="preserve">positive). Moreover, this kind of criteria might bias the diagnosis to</w:t>
      </w:r>
      <w:r>
        <w:t xml:space="preserve"> </w:t>
      </w:r>
      <w:r>
        <w:t xml:space="preserve">include synesthetes with straight lines which leads to less variability</w:t>
      </w:r>
      <w:r>
        <w:t xml:space="preserve"> </w:t>
      </w:r>
      <w:r>
        <w:t xml:space="preserve">than more complex forms</w:t>
      </w:r>
      <w:r>
        <w:t xml:space="preserve">(</w:t>
      </w:r>
      <w:hyperlink w:anchor="ref-Ward">
        <w:r>
          <w:rPr>
            <w:rStyle w:val="Hyperlink"/>
            <w:b/>
            <w:bCs/>
          </w:rPr>
          <w:t xml:space="preserve">Ward?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The goal of the present registered report is to first identify new</w:t>
      </w:r>
      <w:r>
        <w:t xml:space="preserve"> </w:t>
      </w:r>
      <w:r>
        <w:t xml:space="preserve">features characterizing synesthetes responses based on already available</w:t>
      </w:r>
      <w:r>
        <w:t xml:space="preserve"> </w:t>
      </w:r>
      <w:r>
        <w:t xml:space="preserve">datasets and test the best working features on a future dataset. The new</w:t>
      </w:r>
      <w:r>
        <w:t xml:space="preserve"> </w:t>
      </w:r>
      <w:r>
        <w:t xml:space="preserve">features are designed to take advantage of two properties of synesthetic</w:t>
      </w:r>
      <w:r>
        <w:t xml:space="preserve"> </w:t>
      </w:r>
      <w:r>
        <w:t xml:space="preserve">responses that have not been included in precedent consistency tests.</w:t>
      </w:r>
      <w:r>
        <w:t xml:space="preserve"> </w:t>
      </w:r>
      <w:r>
        <w:t xml:space="preserve">First, sequentiality on top of single inducer responses the ordered</w:t>
      </w:r>
      <w:r>
        <w:t xml:space="preserve"> </w:t>
      </w:r>
      <w:r>
        <w:t xml:space="preserve">position between subsequent induces is important. For example the</w:t>
      </w:r>
      <w:r>
        <w:t xml:space="preserve"> </w:t>
      </w:r>
      <w:r>
        <w:t xml:space="preserve">relative position of August and the other months. From numerical</w:t>
      </w:r>
      <w:r>
        <w:t xml:space="preserve"> </w:t>
      </w:r>
      <w:r>
        <w:t xml:space="preserve">cognition, ordinality has been acknowledged to be an important semantic</w:t>
      </w:r>
      <w:r>
        <w:t xml:space="preserve"> </w:t>
      </w:r>
      <w:r>
        <w:t xml:space="preserve">property of numbers, also given their sequential acquisition (i.e. 1 is</w:t>
      </w:r>
      <w:r>
        <w:t xml:space="preserve"> </w:t>
      </w:r>
      <w:r>
        <w:t xml:space="preserve">learned before 2). Second, thee particular synthetic forms of the</w:t>
      </w:r>
      <w:r>
        <w:t xml:space="preserve"> </w:t>
      </w:r>
      <w:r>
        <w:t xml:space="preserve">sequential spatial location. These forms might have geometrical</w:t>
      </w:r>
      <w:r>
        <w:t xml:space="preserve"> </w:t>
      </w:r>
      <w:r>
        <w:t xml:space="preserve">properties. For example months of the year might be represented</w:t>
      </w:r>
      <w:r>
        <w:t xml:space="preserve"> </w:t>
      </w:r>
      <w:r>
        <w:t xml:space="preserve">circularly (as already described by</w:t>
      </w:r>
      <w:r>
        <w:t xml:space="preserve"> </w:t>
      </w:r>
      <w:r>
        <w:t xml:space="preserve">(</w:t>
      </w:r>
      <w:hyperlink w:anchor="ref-galton1880">
        <w:r>
          <w:rPr>
            <w:rStyle w:val="Hyperlink"/>
          </w:rPr>
          <w:t xml:space="preserve">Galton, 1880</w:t>
        </w:r>
      </w:hyperlink>
      <w:r>
        <w:t xml:space="preserve">)</w:t>
      </w:r>
      <w:r>
        <w:t xml:space="preserve"> </w:t>
      </w:r>
      <w:r>
        <w:t xml:space="preserve">for numbers).</w:t>
      </w:r>
    </w:p>
    <w:p>
      <w:pPr>
        <w:pStyle w:val="BodyText"/>
      </w:pPr>
      <w:r>
        <w:t xml:space="preserve">To take advantage of sequential and geometrical synesthetic forms, we</w:t>
      </w:r>
      <w:r>
        <w:t xml:space="preserve"> </w:t>
      </w:r>
      <w:r>
        <w:t xml:space="preserve">harnessed a geo-spatial package</w:t>
      </w:r>
      <w:r>
        <w:t xml:space="preserve">(</w:t>
      </w:r>
      <w:hyperlink w:anchor="ref-pebesma2018">
        <w:r>
          <w:rPr>
            <w:rStyle w:val="Hyperlink"/>
          </w:rPr>
          <w:t xml:space="preserve">Pebesma, 2018</w:t>
        </w:r>
      </w:hyperlink>
      <w:r>
        <w:t xml:space="preserve">)</w:t>
      </w:r>
      <w:r>
        <w:t xml:space="preserve"> </w:t>
      </w:r>
      <w:r>
        <w:t xml:space="preserve">to extract geometrical</w:t>
      </w:r>
      <w:r>
        <w:t xml:space="preserve"> </w:t>
      </w:r>
      <w:r>
        <w:t xml:space="preserve">features from participant x and y coordinate responses. This packages</w:t>
      </w:r>
      <w:r>
        <w:t xml:space="preserve"> </w:t>
      </w:r>
      <w:r>
        <w:t xml:space="preserve">allows for example to build string or polygons for each repetition and</w:t>
      </w:r>
      <w:r>
        <w:t xml:space="preserve"> </w:t>
      </w:r>
      <w:r>
        <w:t xml:space="preserve">compare different geometrical features. Those individual geometrical</w:t>
      </w:r>
      <w:r>
        <w:t xml:space="preserve"> </w:t>
      </w:r>
      <w:r>
        <w:t xml:space="preserve">features are then compared using Receiver Operator Characteristics (ROC)</w:t>
      </w:r>
      <w:r>
        <w:t xml:space="preserve"> </w:t>
      </w:r>
      <w:r>
        <w:t xml:space="preserve">between individuals grouped as synesthets and control. In the present</w:t>
      </w:r>
      <w:r>
        <w:t xml:space="preserve"> </w:t>
      </w:r>
      <w:r>
        <w:rPr>
          <w:i/>
          <w:iCs/>
        </w:rPr>
        <w:t xml:space="preserve">phase I</w:t>
      </w:r>
      <w:r>
        <w:t xml:space="preserve">,we compare ROC on three merged derivation datasets using the</w:t>
      </w:r>
      <w:r>
        <w:t xml:space="preserve"> </w:t>
      </w:r>
      <w:r>
        <w:t xml:space="preserve">same task on SSS</w:t>
      </w:r>
      <w:r>
        <w:t xml:space="preserve"> </w:t>
      </w:r>
      <w:r>
        <w:t xml:space="preserve">Ward (</w:t>
      </w:r>
      <w:hyperlink w:anchor="ref-ward">
        <w:r>
          <w:rPr>
            <w:rStyle w:val="Hyperlink"/>
          </w:rPr>
          <w:t xml:space="preserve">n.d.</w:t>
        </w:r>
      </w:hyperlink>
      <w:r>
        <w:t xml:space="preserve">)</w:t>
      </w:r>
      <w:r>
        <w:t xml:space="preserve">. In future</w:t>
      </w:r>
      <w:r>
        <w:t xml:space="preserve"> </w:t>
      </w:r>
      <w:r>
        <w:rPr>
          <w:i/>
          <w:iCs/>
        </w:rPr>
        <w:t xml:space="preserve">phase II</w:t>
      </w:r>
      <w:r>
        <w:t xml:space="preserve">, we compare whether the features selected to diagnose SSS in</w:t>
      </w:r>
      <w:r>
        <w:t xml:space="preserve"> </w:t>
      </w:r>
      <w:r>
        <w:rPr>
          <w:i/>
          <w:iCs/>
        </w:rPr>
        <w:t xml:space="preserve">phase I,</w:t>
      </w:r>
      <w:r>
        <w:t xml:space="preserve"> </w:t>
      </w:r>
      <w:r>
        <w:t xml:space="preserve">on a validation dataset that is not yet acquired (registered</w:t>
      </w:r>
      <w:r>
        <w:t xml:space="preserve"> </w:t>
      </w:r>
      <w:r>
        <w:t xml:space="preserve">report on the open science foundation:</w:t>
      </w:r>
      <w:r>
        <w:t xml:space="preserve"> </w:t>
      </w:r>
      <w:hyperlink r:id="rId37">
        <w:r>
          <w:rPr>
            <w:rStyle w:val="Hyperlink"/>
          </w:rPr>
          <w:t xml:space="preserve">https://osf.io/9efjb/</w:t>
        </w:r>
      </w:hyperlink>
      <w:r>
        <w:rPr>
          <w:b/>
          <w:bCs/>
        </w:rPr>
        <w:t xml:space="preserve">).</w:t>
      </w:r>
    </w:p>
    <w:bookmarkEnd w:id="38"/>
    <w:bookmarkStart w:id="43" w:name="general-methods"/>
    <w:p>
      <w:pPr>
        <w:pStyle w:val="Heading1"/>
      </w:pPr>
      <w:r>
        <w:t xml:space="preserve">General Methods</w:t>
      </w:r>
    </w:p>
    <w:p>
      <w:pPr>
        <w:pStyle w:val="FirstParagraph"/>
      </w:pPr>
      <w:r>
        <w:rPr>
          <w:i/>
          <w:iCs/>
        </w:rPr>
        <w:t xml:space="preserve">Phase I: present analyses</w:t>
      </w:r>
      <w:r>
        <w:t xml:space="preserve">. We merge three available dataset and</w:t>
      </w:r>
      <w:r>
        <w:t xml:space="preserve"> </w:t>
      </w:r>
      <w:r>
        <w:t xml:space="preserve">compared available diagnostic criteria across datasets using Receiver</w:t>
      </w:r>
      <w:r>
        <w:t xml:space="preserve"> </w:t>
      </w:r>
      <w:r>
        <w:t xml:space="preserve">Operator Characteristics (ROC) for different approaches. A first</w:t>
      </w:r>
      <w:r>
        <w:t xml:space="preserve"> </w:t>
      </w:r>
      <w:r>
        <w:t xml:space="preserve">approach of diagnostic criteria based on a stimulus level consistency.</w:t>
      </w:r>
      <w:r>
        <w:t xml:space="preserve"> </w:t>
      </w:r>
      <w:r>
        <w:t xml:space="preserve">The rationale being that synesthetes should produce more consistent</w:t>
      </w:r>
      <w:r>
        <w:t xml:space="preserve"> </w:t>
      </w:r>
      <w:r>
        <w:t xml:space="preserve">(i.e. less variable) across repetitions. Such criteria include area</w:t>
      </w:r>
      <w:r>
        <w:t xml:space="preserve"> </w:t>
      </w:r>
      <w:r>
        <w:t xml:space="preserve">between repetitions</w:t>
      </w:r>
      <w:r>
        <w:rPr>
          <w:rStyle w:val="FootnoteReference"/>
        </w:rPr>
        <w:footnoteReference w:id="39"/>
      </w:r>
      <w:r>
        <w:t xml:space="preserve">, standard deviation of responses</w:t>
      </w:r>
      <w:r>
        <w:t xml:space="preserve"> </w:t>
      </w:r>
      <w:r>
        <w:t xml:space="preserve">(</w:t>
      </w:r>
      <w:hyperlink w:anchor="ref-ward">
        <w:r>
          <w:rPr>
            <w:rStyle w:val="Hyperlink"/>
          </w:rPr>
          <w:t xml:space="preserve">Ward, n.d.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t xml:space="preserve">permuting the responses to compare each responses to a permuted chance</w:t>
      </w:r>
      <w:r>
        <w:t xml:space="preserve"> </w:t>
      </w:r>
      <w:r>
        <w:t xml:space="preserve">level Root</w:t>
      </w:r>
      <w:r>
        <w:t xml:space="preserve"> </w:t>
      </w:r>
      <w:r>
        <w:t xml:space="preserve">(</w:t>
      </w:r>
      <w:hyperlink w:anchor="ref-root2021">
        <w:r>
          <w:rPr>
            <w:rStyle w:val="Hyperlink"/>
          </w:rPr>
          <w:t xml:space="preserve">Root et al., 2021</w:t>
        </w:r>
      </w:hyperlink>
      <w:r>
        <w:t xml:space="preserve">)</w:t>
      </w:r>
      <w:r>
        <w:t xml:space="preserve">. The second suggested approach is to look at the</w:t>
      </w:r>
      <w:r>
        <w:t xml:space="preserve"> </w:t>
      </w:r>
      <w:r>
        <w:t xml:space="preserve">geometrical form generated by the responses across repetitions. The</w:t>
      </w:r>
      <w:r>
        <w:t xml:space="preserve"> </w:t>
      </w:r>
      <w:r>
        <w:t xml:space="preserve">rationale here is that synesthetic responses should have geometrical</w:t>
      </w:r>
      <w:r>
        <w:t xml:space="preserve"> </w:t>
      </w:r>
      <w:r>
        <w:t xml:space="preserve">feature that differ from controls. For example, several SSS</w:t>
      </w:r>
      <w:r>
        <w:t xml:space="preserve"> </w:t>
      </w:r>
      <w:r>
        <w:t xml:space="preserve">representations for months are circular. For the form</w:t>
      </w:r>
    </w:p>
    <w:p>
      <w:pPr>
        <w:pStyle w:val="BodyText"/>
      </w:pPr>
      <w:r>
        <w:t xml:space="preserve">Third, we compare whether the features lead to similar ROC</w:t>
      </w:r>
      <w:r>
        <w:t xml:space="preserve"> </w:t>
      </w:r>
      <w:r>
        <w:t xml:space="preserve">characteristics across the different sets (i.e. for months, weeks and</w:t>
      </w:r>
      <w:r>
        <w:t xml:space="preserve"> </w:t>
      </w:r>
      <w:r>
        <w:t xml:space="preserve">numbers). Fourth, we compute new candidate geometrical features that</w:t>
      </w:r>
      <w:r>
        <w:t xml:space="preserve"> </w:t>
      </w:r>
      <w:r>
        <w:t xml:space="preserve">could be used to diagnose SS. Finally we summarize and compare all ROC</w:t>
      </w:r>
      <w:r>
        <w:t xml:space="preserve"> </w:t>
      </w:r>
      <w:r>
        <w:t xml:space="preserve">and select the best features that class synesthetes from control with</w:t>
      </w:r>
      <w:r>
        <w:t xml:space="preserve"> </w:t>
      </w:r>
      <w:r>
        <w:t xml:space="preserve">the merged dataset.</w:t>
      </w:r>
    </w:p>
    <w:p>
      <w:pPr>
        <w:pStyle w:val="BodyText"/>
      </w:pPr>
      <w:r>
        <w:rPr>
          <w:i/>
          <w:iCs/>
        </w:rPr>
        <w:t xml:space="preserve">Phase II: future analyses.</w:t>
      </w:r>
      <w:r>
        <w:t xml:space="preserve"> </w:t>
      </w:r>
      <w:r>
        <w:t xml:space="preserve">On a future dataset to be collected using</w:t>
      </w:r>
      <w:r>
        <w:t xml:space="preserve"> </w:t>
      </w:r>
      <w:r>
        <w:t xml:space="preserve">the same task, we will compare the predictive power of the selected</w:t>
      </w:r>
      <w:r>
        <w:t xml:space="preserve"> </w:t>
      </w:r>
      <w:r>
        <w:t xml:space="preserve">features using ROC.</w:t>
      </w:r>
    </w:p>
    <w:bookmarkStart w:id="41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A the exception of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https://osf.io/6hq94/files/osfstorage</w:t>
        </w:r>
      </w:hyperlink>
      <w:r>
        <w:t xml:space="preserve">), the data from</w:t>
      </w:r>
      <w:r>
        <w:t xml:space="preserve"> </w:t>
      </w:r>
      <w:r>
        <w:t xml:space="preserve">(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</w:t>
        </w:r>
      </w:hyperlink>
      <w:r>
        <w:t xml:space="preserve">)</w:t>
      </w:r>
      <w:r>
        <w:t xml:space="preserve"> </w:t>
      </w:r>
      <w:r>
        <w:t xml:space="preserve">were collected online. The 29 inducers were: the 12</w:t>
      </w:r>
      <w:r>
        <w:t xml:space="preserve"> </w:t>
      </w:r>
      <w:r>
        <w:t xml:space="preserve">months of a year, 7 days of the week and 10 numbers (i.e. hindo-arabic</w:t>
      </w:r>
      <w:r>
        <w:t xml:space="preserve"> </w:t>
      </w:r>
      <w:r>
        <w:t xml:space="preserve">numerals from 0 to 9).</w:t>
      </w:r>
      <w:r>
        <w:t xml:space="preserve"> </w:t>
      </w:r>
      <w:r>
        <w:t xml:space="preserve">(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)</w:t>
      </w:r>
      <w:r>
        <w:t xml:space="preserve"> </w:t>
      </w:r>
      <w:r>
        <w:t xml:space="preserve">Also presented 50 and 100</w:t>
      </w:r>
      <w:r>
        <w:t xml:space="preserve"> </w:t>
      </w:r>
      <w:r>
        <w:t xml:space="preserve">numerals, which we excluded here.</w:t>
      </w:r>
      <w:r>
        <w:t xml:space="preserve"> </w:t>
      </w:r>
      <w:r>
        <w:t xml:space="preserve">(</w:t>
      </w:r>
      <w:hyperlink w:anchor="ref-ward">
        <w:r>
          <w:rPr>
            <w:rStyle w:val="Hyperlink"/>
          </w:rPr>
          <w:t xml:space="preserve">Ward, n.d.</w:t>
        </w:r>
      </w:hyperlink>
      <w:r>
        <w:t xml:space="preserve">)</w:t>
      </w:r>
      <w:r>
        <w:t xml:space="preserve"> </w:t>
      </w:r>
      <w:r>
        <w:t xml:space="preserve">data is collected using the</w:t>
      </w:r>
      <w:r>
        <w:t xml:space="preserve"> </w:t>
      </w:r>
      <w:r>
        <w:t xml:space="preserve">Syntoolkit.</w:t>
      </w:r>
    </w:p>
    <w:bookmarkEnd w:id="41"/>
    <w:bookmarkStart w:id="42" w:name="procedure"/>
    <w:p>
      <w:pPr>
        <w:pStyle w:val="Heading2"/>
      </w:pPr>
      <w:r>
        <w:t xml:space="preserve">Procedure</w:t>
      </w:r>
    </w:p>
    <w:p>
      <w:pPr>
        <w:pStyle w:val="FirstParagraph"/>
      </w:pPr>
      <w:r>
        <w:t xml:space="preserve">The details for each procedure is described in each respective article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;</w:t>
      </w:r>
      <w:r>
        <w:t xml:space="preserve"> 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</w:t>
        </w:r>
      </w:hyperlink>
      <w:r>
        <w:t xml:space="preserve">)</w:t>
      </w:r>
      <w:r>
        <w:t xml:space="preserve">, here we describe the common</w:t>
      </w:r>
      <w:r>
        <w:t xml:space="preserve"> </w:t>
      </w:r>
      <w:r>
        <w:t xml:space="preserve">task.</w:t>
      </w:r>
    </w:p>
    <w:p>
      <w:pPr>
        <w:pStyle w:val="BodyText"/>
      </w:pPr>
      <w:r>
        <w:t xml:space="preserve">Each participant is presented with one one inducer at a time at the</w:t>
      </w:r>
      <w:r>
        <w:t xml:space="preserve"> </w:t>
      </w:r>
      <w:r>
        <w:t xml:space="preserve">center of a otherwise white screen. The participant is instructed to</w:t>
      </w:r>
      <w:r>
        <w:t xml:space="preserve"> </w:t>
      </w:r>
      <w:r>
        <w:t xml:space="preserve">click at the screen position that they visualize them. Inducers order is</w:t>
      </w:r>
      <w:r>
        <w:t xml:space="preserve"> </w:t>
      </w:r>
      <w:r>
        <w:t xml:space="preserve">randomized and each inducer is repeated three times.</w:t>
      </w:r>
    </w:p>
    <w:p>
      <w:pPr>
        <w:pStyle w:val="BodyText"/>
      </w:pPr>
      <w:r>
        <w:rPr>
          <w:i/>
          <w:iCs/>
        </w:rPr>
        <w:t xml:space="preserve">The order of the stimuli was randomized, but such that no stimulus was</w:t>
      </w:r>
      <w:r>
        <w:rPr>
          <w:i/>
          <w:iCs/>
        </w:rPr>
        <w:t xml:space="preserve"> </w:t>
      </w:r>
      <w:r>
        <w:rPr>
          <w:i/>
          <w:iCs/>
        </w:rPr>
        <w:t xml:space="preserve">repeated until the previous batch of unique stimuli (N = 29) had been</w:t>
      </w:r>
      <w:r>
        <w:rPr>
          <w:i/>
          <w:iCs/>
        </w:rPr>
        <w:t xml:space="preserve"> </w:t>
      </w:r>
      <w:r>
        <w:rPr>
          <w:i/>
          <w:iCs/>
        </w:rPr>
        <w:t xml:space="preserve">presented.</w:t>
      </w:r>
    </w:p>
    <w:p>
      <w:pPr>
        <w:pStyle w:val="BodyText"/>
      </w:pPr>
      <w:r>
        <w:t xml:space="preserve">Importantly, while the three datasets inclucded in</w:t>
      </w:r>
      <w:r>
        <w:t xml:space="preserve"> </w:t>
      </w:r>
      <w:r>
        <w:rPr>
          <w:i/>
          <w:iCs/>
        </w:rPr>
        <w:t xml:space="preserve">phase I</w:t>
      </w:r>
      <w:r>
        <w:t xml:space="preserve"> </w:t>
      </w:r>
      <w:r>
        <w:t xml:space="preserve">include</w:t>
      </w:r>
      <w:r>
        <w:t xml:space="preserve"> </w:t>
      </w:r>
      <w:r>
        <w:t xml:space="preserve">three repetitions per stimuli, the</w:t>
      </w:r>
      <w:r>
        <w:t xml:space="preserve"> </w:t>
      </w:r>
      <w:r>
        <w:rPr>
          <w:i/>
          <w:iCs/>
        </w:rPr>
        <w:t xml:space="preserve">phase II</w:t>
      </w:r>
      <w:r>
        <w:t xml:space="preserve"> </w:t>
      </w:r>
      <w:r>
        <w:t xml:space="preserve">will use four repetition</w:t>
      </w:r>
      <w:r>
        <w:t xml:space="preserve"> </w:t>
      </w:r>
      <w:r>
        <w:t xml:space="preserve">per stimuli. Hence the cut-offs will be designed to be scalable to</w:t>
      </w:r>
      <w:r>
        <w:t xml:space="preserve"> </w:t>
      </w:r>
      <w:r>
        <w:t xml:space="preserve">different number of repetitions and stimulus.</w:t>
      </w:r>
    </w:p>
    <w:bookmarkEnd w:id="42"/>
    <w:bookmarkEnd w:id="43"/>
    <w:bookmarkStart w:id="58" w:name="phase-i-methods"/>
    <w:p>
      <w:pPr>
        <w:pStyle w:val="Heading1"/>
      </w:pPr>
      <w:r>
        <w:rPr>
          <w:i/>
          <w:iCs/>
        </w:rPr>
        <w:t xml:space="preserve">Phase I</w:t>
      </w:r>
      <w:r>
        <w:t xml:space="preserve"> </w:t>
      </w:r>
      <w:r>
        <w:t xml:space="preserve">Methods</w:t>
      </w:r>
    </w:p>
    <w:bookmarkStart w:id="44" w:name="phase-i-merge-and-prepare-data"/>
    <w:p>
      <w:pPr>
        <w:pStyle w:val="Heading2"/>
      </w:pPr>
      <w:r>
        <w:rPr>
          <w:i/>
          <w:iCs/>
        </w:rPr>
        <w:t xml:space="preserve">Phase I</w:t>
      </w:r>
      <w:r>
        <w:t xml:space="preserve"> </w:t>
      </w:r>
      <w:r>
        <w:t xml:space="preserve">Merge and prepare data</w:t>
      </w:r>
    </w:p>
    <w:p>
      <w:pPr>
        <w:pStyle w:val="FirstParagraph"/>
      </w:pPr>
      <w:r>
        <w:t xml:space="preserve">We merged three datasets:</w:t>
      </w:r>
      <w:r>
        <w:t xml:space="preserve"> </w:t>
      </w:r>
      <w:r>
        <w:t xml:space="preserve">Rothen et al. (</w:t>
      </w:r>
      <w:hyperlink w:anchor="ref-rothen2016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],</w:t>
      </w:r>
      <w:r>
        <w:t xml:space="preserve">(</w:t>
      </w:r>
      <w:hyperlink w:anchor="ref-ward">
        <w:r>
          <w:rPr>
            <w:rStyle w:val="Hyperlink"/>
          </w:rPr>
          <w:t xml:space="preserve">Ward, n.d.</w:t>
        </w:r>
      </w:hyperlink>
      <w:r>
        <w:t xml:space="preserve">)</w:t>
      </w:r>
      <w:r>
        <w:t xml:space="preserve"> </w:t>
      </w:r>
      <w:r>
        <w:t xml:space="preserve">(from:</w:t>
      </w:r>
      <w:r>
        <w:t xml:space="preserve"> </w:t>
      </w:r>
      <w:hyperlink w:anchor="X6589fc6ab0dc82cf12099d1c2d40ab994e8410c">
        <w:r>
          <w:rPr>
            <w:rStyle w:val="Hyperlink"/>
          </w:rPr>
          <w:t xml:space="preserve">https://osf.io/p5xsd/files/osfstorage</w:t>
        </w:r>
      </w:hyperlink>
      <w:r>
        <w:t xml:space="preserve">) and</w:t>
      </w:r>
      <w:r>
        <w:t xml:space="preserve"> </w:t>
      </w:r>
      <w:r>
        <w:t xml:space="preserve">(</w:t>
      </w:r>
      <w:hyperlink w:anchor="ref-vanpetersen2020">
        <w:r>
          <w:rPr>
            <w:rStyle w:val="Hyperlink"/>
          </w:rPr>
          <w:t xml:space="preserve">Van Petersen et al., 2020b</w:t>
        </w:r>
      </w:hyperlink>
      <w:r>
        <w:t xml:space="preserve">)</w:t>
      </w:r>
      <w:r>
        <w:t xml:space="preserve">. To match the other datasets, stimuli form</w:t>
      </w:r>
      <w:r>
        <w:t xml:space="preserve"> </w:t>
      </w:r>
      <w:r>
        <w:t xml:space="preserve">(</w:t>
      </w:r>
      <w:hyperlink w:anchor="ref-vanpetersen2020">
        <w:r>
          <w:rPr>
            <w:rStyle w:val="Hyperlink"/>
          </w:rPr>
          <w:t xml:space="preserve">Van Petersen et al., 2020b</w:t>
        </w:r>
      </w:hyperlink>
      <w:r>
        <w:t xml:space="preserve">)</w:t>
      </w:r>
      <w:r>
        <w:t xml:space="preserve"> </w:t>
      </w:r>
      <w:r>
        <w:t xml:space="preserve">are translated from dutch to English and for the</w:t>
      </w:r>
      <w:r>
        <w:t xml:space="preserve"> </w:t>
      </w:r>
      <w:r>
        <w:t xml:space="preserve">stimuli, only numbers from 0 to 9 are kept (excluding 50 and 100). The x</w:t>
      </w:r>
      <w:r>
        <w:t xml:space="preserve"> </w:t>
      </w:r>
      <w:r>
        <w:t xml:space="preserve">and y coordinates were then separately normalized (z-score) per</w:t>
      </w:r>
      <w:r>
        <w:t xml:space="preserve"> </w:t>
      </w:r>
      <w:r>
        <w:t xml:space="preserve">participant.</w:t>
      </w:r>
    </w:p>
    <w:p>
      <w:pPr>
        <w:pStyle w:val="BodyText"/>
      </w:pPr>
      <w:r>
        <w:t xml:space="preserve">On a trial level, we excluded responses that were not recorded and if a</w:t>
      </w:r>
      <w:r>
        <w:t xml:space="preserve"> </w:t>
      </w:r>
      <w:r>
        <w:t xml:space="preserve">participant coordinate were the same across conditions and repetitions.</w:t>
      </w:r>
      <w:r>
        <w:t xml:space="preserve"> </w:t>
      </w:r>
      <w:r>
        <w:t xml:space="preserve">This led to the depletion of 35 participants. Note also that</w:t>
      </w:r>
      <w:r>
        <w:t xml:space="preserve"> </w:t>
      </w:r>
      <w:r>
        <w:t xml:space="preserve">this means 31 participants did not have responses</w:t>
      </w:r>
      <w:r>
        <w:t xml:space="preserve"> </w:t>
      </w:r>
      <w:r>
        <w:t xml:space="preserve">in some conditions.</w:t>
      </w:r>
    </w:p>
    <w:p>
      <w:pPr>
        <w:pStyle w:val="SourceCode"/>
      </w:pPr>
      <w:r>
        <w:rPr>
          <w:rStyle w:val="VerbatimChar"/>
        </w:rPr>
        <w:t xml:space="preserve"># A tibble: 0 × 4</w:t>
      </w:r>
      <w:r>
        <w:br/>
      </w:r>
      <w:r>
        <w:rPr>
          <w:rStyle w:val="VerbatimChar"/>
        </w:rPr>
        <w:t xml:space="preserve"># Groups:   ID [0]</w:t>
      </w:r>
      <w:r>
        <w:br/>
      </w:r>
      <w:r>
        <w:rPr>
          <w:rStyle w:val="VerbatimChar"/>
        </w:rPr>
        <w:t xml:space="preserve"># ℹ 4 variables: ID &lt;chr&gt;, stimulus &lt;chr&gt;, x &lt;dbl&gt;, y &lt;dbl&gt;</w:t>
      </w:r>
    </w:p>
    <w:bookmarkEnd w:id="44"/>
    <w:bookmarkStart w:id="48" w:name="phase-i.-population"/>
    <w:p>
      <w:pPr>
        <w:pStyle w:val="Heading2"/>
      </w:pPr>
      <w:r>
        <w:rPr>
          <w:i/>
          <w:iCs/>
        </w:rPr>
        <w:t xml:space="preserve">Phase I.</w:t>
      </w:r>
      <w:r>
        <w:t xml:space="preserve"> </w:t>
      </w:r>
      <w:r>
        <w:t xml:space="preserve">Population</w:t>
      </w:r>
    </w:p>
    <w:p>
      <w:pPr>
        <w:pStyle w:val="TableCaption"/>
      </w:pPr>
      <w:r>
        <w:t xml:space="preserve">Summary of data sources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data sourc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PeterCor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</w:tbl>
    <w:p>
      <w:pPr>
        <w:pStyle w:val="BodyText"/>
      </w:pPr>
      <w:r>
        <w:t xml:space="preserve">For all the three datasets, the synesthetes were self-reported.</w:t>
      </w:r>
    </w:p>
    <w:p>
      <w:pPr>
        <w:pStyle w:val="TableCaption"/>
      </w:pPr>
      <w:r>
        <w:t xml:space="preserve">Table 1: Population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  <w:tblCaption w:val="Table 1: Population"/>
      </w:tblPr>
      <w:tblGrid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</w:t>
            </w:r>
            <w:r>
              <w:t xml:space="preserve"> </w:t>
            </w:r>
            <w:r>
              <w:t xml:space="preserve">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Syn</w:t>
            </w:r>
            <w:r>
              <w:t xml:space="preserve"> </w:t>
            </w:r>
            <w:r>
              <w:t xml:space="preserve">esth</w:t>
            </w:r>
            <w:r>
              <w:t xml:space="preserve"> </w:t>
            </w:r>
            <w:r>
              <w:t xml:space="preserve">etes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</w:t>
            </w:r>
            <w:r>
              <w:t xml:space="preserve"> </w:t>
            </w:r>
            <w:r>
              <w:t xml:space="preserve">rols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Orig</w:t>
            </w:r>
            <w:r>
              <w:t xml:space="preserve"> </w:t>
            </w:r>
            <w:r>
              <w:t xml:space="preserve">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Incl</w:t>
            </w:r>
            <w:r>
              <w:t xml:space="preserve"> </w:t>
            </w:r>
            <w:r>
              <w:t xml:space="preserve">uded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Incl</w:t>
            </w:r>
            <w:r>
              <w:t xml:space="preserve"> </w:t>
            </w:r>
            <w:r>
              <w:t xml:space="preserve">uded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t xml:space="preserve">fem</w:t>
            </w:r>
            <w:r>
              <w:t xml:space="preserve"> </w:t>
            </w:r>
            <w:r>
              <w:t xml:space="preserve">ales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t xml:space="preserve">fem</w:t>
            </w:r>
            <w:r>
              <w:t xml:space="preserve"> </w:t>
            </w:r>
            <w:r>
              <w:t xml:space="preserve">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hyperlink w:anchor="ref-rot">
              <w:r>
                <w:rPr>
                  <w:rStyle w:val="Hyperlink"/>
                  <w:b/>
                  <w:bCs/>
                </w:rPr>
                <w:t xml:space="preserve">rot?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28.2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[@</w:t>
            </w:r>
            <w:r>
              <w:t xml:space="preserve"> </w:t>
            </w:r>
            <w:r>
              <w:t xml:space="preserve">vanp</w:t>
            </w:r>
            <w:r>
              <w:t xml:space="preserve"> </w:t>
            </w:r>
            <w:r>
              <w:t xml:space="preserve">eter</w:t>
            </w:r>
            <w:r>
              <w:t xml:space="preserve"> </w:t>
            </w:r>
            <w:r>
              <w:t xml:space="preserve">sen2</w:t>
            </w:r>
            <w:r>
              <w:t xml:space="preserve"> </w:t>
            </w:r>
            <w:r>
              <w:t xml:space="preserve">020]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3.22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hyperlink w:anchor="ref-wa">
              <w:r>
                <w:rPr>
                  <w:rStyle w:val="Hyperlink"/>
                  <w:b/>
                  <w:bCs/>
                </w:rPr>
                <w:t xml:space="preserve">wa?</w:t>
              </w:r>
            </w:hyperlink>
            <w:r>
              <w:t xml:space="preserve"> </w:t>
            </w:r>
            <w:r>
              <w:t xml:space="preserve">rdb)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t xml:space="preserve">7.21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9.90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Ward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</w:t>
            </w:r>
            <w:r>
              <w:t xml:space="preserve"> </w:t>
            </w:r>
            <w:r>
              <w:t xml:space="preserve">rged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</w:tr>
    </w:tbl>
    <w:p>
      <w:pPr>
        <w:pStyle w:val="CaptionedFigure"/>
      </w:pPr>
      <w:r>
        <w:drawing>
          <wp:inline>
            <wp:extent cx="5943600" cy="5943600"/>
            <wp:effectExtent b="0" l="0" r="0" t="0"/>
            <wp:docPr descr="Venn diagram of the types of self-reported SSS" title="" id="46" name="Picture"/>
            <a:graphic>
              <a:graphicData uri="http://schemas.openxmlformats.org/drawingml/2006/picture">
                <pic:pic>
                  <pic:nvPicPr>
                    <pic:cNvPr descr="2.Pre-registeredReport_V11_files/figure-docx/fig1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Venn diagram of the types of self-reported SSS</w:t>
      </w:r>
    </w:p>
    <w:bookmarkEnd w:id="48"/>
    <w:bookmarkStart w:id="49" w:name="phase-i-analysis"/>
    <w:p>
      <w:pPr>
        <w:pStyle w:val="Heading2"/>
      </w:pPr>
      <w:r>
        <w:rPr>
          <w:i/>
          <w:iCs/>
        </w:rPr>
        <w:t xml:space="preserve">Phase I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First, we reproduce consistency methods found in the literature using</w:t>
      </w:r>
      <w:r>
        <w:t xml:space="preserve"> </w:t>
      </w:r>
      <w:r>
        <w:t xml:space="preserve">the same task (</w:t>
      </w:r>
      <w:r>
        <w:t xml:space="preserve">(</w:t>
      </w:r>
      <w:hyperlink w:anchor="ref-root2021">
        <w:r>
          <w:rPr>
            <w:rStyle w:val="Hyperlink"/>
          </w:rPr>
          <w:t xml:space="preserve">Root et al., 2021</w:t>
        </w:r>
      </w:hyperlink>
      <w:r>
        <w:t xml:space="preserve">;</w:t>
      </w:r>
      <w:r>
        <w:t xml:space="preserve"> 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;</w:t>
      </w:r>
      <w:r>
        <w:t xml:space="preserve"> 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</w:t>
        </w:r>
      </w:hyperlink>
      <w:r>
        <w:t xml:space="preserve">)</w:t>
      </w:r>
      <w:r>
        <w:t xml:space="preserve">) and</w:t>
      </w:r>
      <w:r>
        <w:t xml:space="preserve"> </w:t>
      </w:r>
      <w:r>
        <w:t xml:space="preserve">compare the results. These methods are on the stimulus level, hence they</w:t>
      </w:r>
      <w:r>
        <w:t xml:space="preserve"> </w:t>
      </w:r>
      <w:r>
        <w:t xml:space="preserve">asses the consistency for each stimulus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repetitions.</w:t>
      </w:r>
    </w:p>
    <w:p>
      <w:pPr>
        <w:pStyle w:val="BodyText"/>
      </w:pPr>
      <w:r>
        <w:t xml:space="preserve">Second, we extract features on the form level. We harness a geography</w:t>
      </w:r>
      <w:r>
        <w:t xml:space="preserve"> </w:t>
      </w:r>
      <w:r>
        <w:t xml:space="preserve">package to compute geometry based features. Informed on the ordinality</w:t>
      </w:r>
      <w:r>
        <w:t xml:space="preserve"> </w:t>
      </w:r>
      <w:r>
        <w:t xml:space="preserve">of the stimulus (i.e. monday, tuesday, ect), we construct segments and</w:t>
      </w:r>
      <w:r>
        <w:t xml:space="preserve"> </w:t>
      </w:r>
      <w:r>
        <w:t xml:space="preserve">polygon by conditions and repetitions. These methods are on the form or</w:t>
      </w:r>
      <w:r>
        <w:t xml:space="preserve"> </w:t>
      </w:r>
      <w:r>
        <w:t xml:space="preserve">category level. The rationale here is to see whether when considering</w:t>
      </w:r>
      <w:r>
        <w:t xml:space="preserve"> </w:t>
      </w:r>
      <w:r>
        <w:t xml:space="preserve">the stimuli as ordered coordinates, i.e. as segments or polygon, they</w:t>
      </w:r>
      <w:r>
        <w:t xml:space="preserve"> </w:t>
      </w:r>
      <w:r>
        <w:t xml:space="preserve">are consistent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repetitions.</w:t>
      </w:r>
    </w:p>
    <w:p>
      <w:pPr>
        <w:pStyle w:val="BodyText"/>
      </w:pPr>
      <w:r>
        <w:t xml:space="preserve">Since these methods are also relying on repetition order (i.e. the</w:t>
      </w:r>
      <w:r>
        <w:t xml:space="preserve"> </w:t>
      </w:r>
      <w:r>
        <w:t xml:space="preserve">segment for numbers are constructed with repetition 1 vs repetition 2 vs</w:t>
      </w:r>
      <w:r>
        <w:t xml:space="preserve"> </w:t>
      </w:r>
      <w:r>
        <w:t xml:space="preserve">repetition 3, that is in their chronological order of presentation), we</w:t>
      </w:r>
      <w:r>
        <w:t xml:space="preserve"> </w:t>
      </w:r>
      <w:r>
        <w:t xml:space="preserve">also compute the best AUC features by permuting repetitions. We predict</w:t>
      </w:r>
      <w:r>
        <w:t xml:space="preserve"> </w:t>
      </w:r>
      <w:r>
        <w:t xml:space="preserve">that permuted averaged features should lead to better classifications.</w:t>
      </w:r>
      <w:r>
        <w:t xml:space="preserve"> </w:t>
      </w:r>
      <w:r>
        <w:t xml:space="preserve">Because synesthete’s within stimulus consistency should lead to similar</w:t>
      </w:r>
      <w:r>
        <w:t xml:space="preserve"> </w:t>
      </w:r>
      <w:r>
        <w:t xml:space="preserve">forms interdependently from the chronological order of stimulus</w:t>
      </w:r>
      <w:r>
        <w:t xml:space="preserve"> </w:t>
      </w:r>
      <w:r>
        <w:t xml:space="preserve">presentation.</w:t>
      </w:r>
    </w:p>
    <w:p>
      <w:pPr>
        <w:pStyle w:val="BodyText"/>
      </w:pPr>
      <w:r>
        <w:t xml:space="preserve">Finally, we also intent a correlational approach.</w:t>
      </w:r>
    </w:p>
    <w:bookmarkEnd w:id="49"/>
    <w:bookmarkStart w:id="51" w:name="reproduce---per-stimuli"/>
    <w:p>
      <w:pPr>
        <w:pStyle w:val="Heading2"/>
      </w:pPr>
      <w:r>
        <w:t xml:space="preserve">Reproduce - per stimuli</w:t>
      </w:r>
    </w:p>
    <w:bookmarkStart w:id="50" w:name="area-and-perimeter-between-repetitions"/>
    <w:p>
      <w:pPr>
        <w:pStyle w:val="Heading3"/>
      </w:pPr>
      <w:r>
        <w:t xml:space="preserve">Area and perimeter between repetitions</w:t>
      </w:r>
    </w:p>
    <w:p>
      <w:pPr>
        <w:pStyle w:val="FirstParagraph"/>
      </w:pPr>
      <w:r>
        <w:t xml:space="preserve">Conceptually more consistent responses to the same stimuli should be</w:t>
      </w:r>
      <w:r>
        <w:t xml:space="preserve"> </w:t>
      </w:r>
      <w:r>
        <w:t xml:space="preserve">closer. This distance can be computed as the area or the perimeter</w:t>
      </w:r>
      <w:r>
        <w:t xml:space="preserve"> </w:t>
      </w:r>
      <w:r>
        <w:t xml:space="preserve">formed by the x,y coordinate between the repetitions (i.e. (x1, y1),</w:t>
      </w:r>
      <w:r>
        <w:t xml:space="preserve"> </w:t>
      </w:r>
      <w:r>
        <w:t xml:space="preserve">(x2, y2), (x3, y3)). With three repetitions, the area is calculated as</w:t>
      </w:r>
      <w:r>
        <w:t xml:space="preserve"> </w:t>
      </w:r>
      <w:r>
        <w:t xml:space="preserve">in using the formula (A) and the perimeter (B).</w:t>
      </w:r>
    </w:p>
    <w:p>
      <w:pPr>
        <w:pStyle w:val="BodyText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 </m:t>
        </m:r>
        <m:r>
          <m:t>A</m:t>
        </m:r>
        <m:r>
          <m:t>r</m:t>
        </m:r>
        <m:r>
          <m:t>e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1</m:t>
            </m:r>
            <m:r>
              <m:t>y</m:t>
            </m:r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  <m:r>
              <m:t>2</m:t>
            </m:r>
            <m:r>
              <m:t>y</m:t>
            </m:r>
            <m:r>
              <m:t>3</m:t>
            </m:r>
            <m:r>
              <m:rPr>
                <m:sty m:val="p"/>
              </m:rPr>
              <m:t>+</m:t>
            </m:r>
            <m:r>
              <m:t>x</m:t>
            </m:r>
            <m:r>
              <m:t>3</m:t>
            </m:r>
            <m:r>
              <m:t>y</m:t>
            </m:r>
            <m:r>
              <m:t>1</m:t>
            </m:r>
            <m:r>
              <m:rPr>
                <m:sty m:val="p"/>
              </m:rPr>
              <m:t>–</m:t>
            </m:r>
            <m:r>
              <m:t>x</m:t>
            </m:r>
            <m:r>
              <m:t>1</m:t>
            </m:r>
            <m:r>
              <m:t>y</m:t>
            </m:r>
            <m:r>
              <m:t>3</m:t>
            </m:r>
            <m:r>
              <m:rPr>
                <m:sty m:val="p"/>
              </m:rPr>
              <m:t>–</m:t>
            </m:r>
            <m:r>
              <m:t>x</m:t>
            </m:r>
            <m:r>
              <m:t>2</m:t>
            </m:r>
            <m:r>
              <m:t>y</m:t>
            </m:r>
            <m:r>
              <m:t>1</m:t>
            </m:r>
            <m:r>
              <m:rPr>
                <m:sty m:val="p"/>
              </m:rPr>
              <m:t>–</m:t>
            </m:r>
            <m:r>
              <m:t>x</m:t>
            </m:r>
            <m:r>
              <m:t>3</m:t>
            </m:r>
            <m:r>
              <m:t>y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 </m:t>
        </m:r>
        <m:r>
          <m:t>P</m:t>
        </m:r>
        <m:r>
          <m:t>e</m:t>
        </m:r>
        <m:r>
          <m:t>r</m:t>
        </m:r>
        <m:r>
          <m:t>i</m:t>
        </m:r>
        <m:r>
          <m:t>m</m:t>
        </m:r>
        <m:r>
          <m:t>e</m:t>
        </m:r>
        <m:r>
          <m:t>t</m:t>
        </m:r>
        <m:r>
          <m:t>e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–</m:t>
                    </m:r>
                    <m:r>
                      <m:t>y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–</m:t>
                    </m:r>
                    <m:r>
                      <m:t>y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–</m:t>
                    </m:r>
                    <m:r>
                      <m:t>y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Since the screen sizes differ, we computed the area on individually</w:t>
      </w:r>
      <w:r>
        <w:t xml:space="preserve"> </w:t>
      </w:r>
      <w:r>
        <w:t xml:space="preserve">z-score transformed x,y coordinates. The area of each stimuli is then</w:t>
      </w:r>
      <w:r>
        <w:t xml:space="preserve"> </w:t>
      </w:r>
      <w:r>
        <w:t xml:space="preserve">averaged for each participants.</w:t>
      </w:r>
    </w:p>
    <w:bookmarkEnd w:id="50"/>
    <w:bookmarkEnd w:id="51"/>
    <w:bookmarkStart w:id="54" w:name="additional-features---per-segment"/>
    <w:p>
      <w:pPr>
        <w:pStyle w:val="Heading2"/>
      </w:pPr>
      <w:r>
        <w:t xml:space="preserve">Additional features - per segment</w:t>
      </w:r>
    </w:p>
    <w:p>
      <w:pPr>
        <w:pStyle w:val="FirstParagraph"/>
      </w:pPr>
      <w:r>
        <w:t xml:space="preserve">Taking the stimuli as an ordered sequence we can consider them as a</w:t>
      </w:r>
      <w:r>
        <w:t xml:space="preserve"> </w:t>
      </w:r>
      <w:r>
        <w:t xml:space="preserve">geometrical segments (i.e. open geometrical form) and polygons (i.e.</w:t>
      </w:r>
      <w:r>
        <w:t xml:space="preserve"> </w:t>
      </w:r>
      <w:r>
        <w:t xml:space="preserve">closed geometrical form), similarly as originally described in</w:t>
      </w:r>
      <w:r>
        <w:t xml:space="preserve"> </w:t>
      </w:r>
      <w:r>
        <w:t xml:space="preserve">(</w:t>
      </w:r>
      <w:hyperlink w:anchor="ref-Galton">
        <w:r>
          <w:rPr>
            <w:rStyle w:val="Hyperlink"/>
            <w:b/>
            <w:bCs/>
          </w:rPr>
          <w:t xml:space="preserve">Galton?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From there we can extract several geometrical properties. First, we</w:t>
      </w:r>
      <w:r>
        <w:t xml:space="preserve"> </w:t>
      </w:r>
      <w:r>
        <w:t xml:space="preserve">extract the number of</w:t>
      </w:r>
      <w:r>
        <w:t xml:space="preserve"> </w:t>
      </w:r>
      <w:r>
        <w:rPr>
          <w:i/>
          <w:iCs/>
        </w:rPr>
        <w:t xml:space="preserve">self-intersections</w:t>
      </w:r>
      <w:r>
        <w:t xml:space="preserve"> </w:t>
      </w:r>
      <w:r>
        <w:t xml:space="preserve">of each segments.</w:t>
      </w:r>
      <w:r>
        <w:t xml:space="preserve"> </w:t>
      </w:r>
      <w:r>
        <w:t xml:space="preserve">Conceptually, SSS should have less chance to produce that self-intersect</w:t>
      </w:r>
      <w:r>
        <w:t xml:space="preserve"> </w:t>
      </w:r>
      <w:r>
        <w:t xml:space="preserve">than control. The number of self-intersections are added separately for</w:t>
      </w:r>
      <w:r>
        <w:t xml:space="preserve"> </w:t>
      </w:r>
      <w:r>
        <w:t xml:space="preserve">each repetitions and conditions and averaged per participants.</w:t>
      </w:r>
    </w:p>
    <w:p>
      <w:pPr>
        <w:pStyle w:val="BodyText"/>
      </w:pPr>
      <w:r>
        <w:t xml:space="preserve">The next geometrical features are extracted using the simple feature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hyperlink w:anchor="ref-pebesma2018">
        <w:r>
          <w:rPr>
            <w:rStyle w:val="Hyperlink"/>
          </w:rPr>
          <w:t xml:space="preserve">Pebesma, 2018</w:t>
        </w:r>
      </w:hyperlink>
      <w:r>
        <w:t xml:space="preserve">)</w:t>
      </w:r>
      <w:r>
        <w:t xml:space="preserve"> </w:t>
      </w:r>
      <w:r>
        <w:t xml:space="preserve">to generate ordered segments and polygons</w:t>
      </w:r>
      <w:r>
        <w:t xml:space="preserve"> </w:t>
      </w:r>
      <w:r>
        <w:t xml:space="preserve">based on the individually z-score transformed x and y coordinates.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has originally been developed for geography.</w:t>
      </w:r>
    </w:p>
    <w:p>
      <w:pPr>
        <w:pStyle w:val="BodyText"/>
      </w:pPr>
      <w:r>
        <w:t xml:space="preserve">We calculate the polygon’s area and perimeter of the polygons and</w:t>
      </w:r>
      <w:r>
        <w:t xml:space="preserve"> </w:t>
      </w:r>
      <w:r>
        <w:t xml:space="preserve">average per participants.</w:t>
      </w:r>
    </w:p>
    <w:p>
      <w:pPr>
        <w:pStyle w:val="BodyText"/>
      </w:pPr>
      <w:r>
        <w:t xml:space="preserve">Then we use the second order functions provided by the</w:t>
      </w:r>
      <w:r>
        <w:t xml:space="preserve"> </w:t>
      </w:r>
      <w:r>
        <w:rPr>
          <w:rStyle w:val="VerbatimChar"/>
          <w:b/>
          <w:bCs/>
        </w:rPr>
        <w:t xml:space="preserve">sf</w:t>
      </w:r>
      <w:r>
        <w:t xml:space="preserve"> </w:t>
      </w:r>
      <w:r>
        <w:t xml:space="preserve">package</w:t>
      </w:r>
      <w:r>
        <w:t xml:space="preserve"> </w:t>
      </w:r>
      <w:r>
        <w:t xml:space="preserve">to check for topological features from the polygons. These tests return</w:t>
      </w:r>
      <w:r>
        <w:t xml:space="preserve"> </w:t>
      </w:r>
      <w:r>
        <w:t xml:space="preserve">a boolean. First we test each polygon for simplicity, a simple polygon</w:t>
      </w:r>
      <w:r>
        <w:t xml:space="preserve"> </w:t>
      </w:r>
      <w:r>
        <w:t xml:space="preserve">being described as not having self-intersections or self-tangencies.</w:t>
      </w:r>
    </w:p>
    <w:p>
      <w:pPr>
        <w:pStyle w:val="BodyText"/>
      </w:pPr>
      <w:r>
        <w:t xml:space="preserve">Then we test for topological validity, this function tests if a polygon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is well-formed and valid in 2D according to the</w:t>
      </w:r>
      <w:r>
        <w:t xml:space="preserve"> </w:t>
      </w:r>
      <w:r>
        <w:t xml:space="preserve">Open Geopsatial</w:t>
      </w:r>
      <w:r>
        <w:t xml:space="preserve"> </w:t>
      </w:r>
      <w:r>
        <w:t xml:space="preserve">Consotrtium</w:t>
      </w:r>
      <w:r>
        <w:t xml:space="preserve"> </w:t>
      </w:r>
      <w:r>
        <w:rPr>
          <w:i/>
          <w:iCs/>
        </w:rPr>
        <w:t xml:space="preserve">rules (see</w:t>
      </w:r>
      <w:r>
        <w:t xml:space="preserve"> </w:t>
      </w:r>
      <w:hyperlink r:id="rId52">
        <w:r>
          <w:rPr>
            <w:rStyle w:val="Hyperlink"/>
          </w:rPr>
          <w:t xml:space="preserve">https://postgis.net/docs/ST_IsValid.html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https://postgis.net/docs/using_postgis_dbmanagement.html#OGC_Validity</w:t>
        </w:r>
      </w:hyperlink>
      <w:r>
        <w:t xml:space="preserve">).</w:t>
      </w:r>
    </w:p>
    <w:p>
      <w:pPr>
        <w:pStyle w:val="BodyText"/>
      </w:pPr>
      <w:r>
        <w:t xml:space="preserve">Finally, we also attempted a correlational approach. Here we correlate</w:t>
      </w:r>
      <w:r>
        <w:t xml:space="preserve"> </w:t>
      </w:r>
      <w:r>
        <w:t xml:space="preserve">the coordinates.</w:t>
      </w:r>
    </w:p>
    <w:bookmarkEnd w:id="54"/>
    <w:bookmarkStart w:id="57" w:name="additional-improvements"/>
    <w:p>
      <w:pPr>
        <w:pStyle w:val="Heading2"/>
      </w:pPr>
      <w:r>
        <w:t xml:space="preserve">Additional improvements</w:t>
      </w:r>
    </w:p>
    <w:p>
      <w:pPr>
        <w:pStyle w:val="FirstParagraph"/>
      </w:pPr>
      <w:r>
        <w:t xml:space="preserve">Until now the form based features are computed by chronologically</w:t>
      </w:r>
      <w:r>
        <w:t xml:space="preserve"> </w:t>
      </w:r>
      <w:r>
        <w:t xml:space="preserve">ordered repetitions. For example, Monday is repeated three times per ID.</w:t>
      </w:r>
      <w:r>
        <w:t xml:space="preserve"> </w:t>
      </w:r>
      <w:r>
        <w:t xml:space="preserve">The coordinates for Monday presented the first time will always be used</w:t>
      </w:r>
      <w:r>
        <w:t xml:space="preserve"> </w:t>
      </w:r>
      <w:r>
        <w:t xml:space="preserve">to form the segment/polygon with the Tuesday presented the first time.</w:t>
      </w:r>
      <w:r>
        <w:t xml:space="preserve"> </w:t>
      </w:r>
      <w:r>
        <w:t xml:space="preserve">However, for consistency, this should be independent from chronological</w:t>
      </w:r>
      <w:r>
        <w:t xml:space="preserve"> </w:t>
      </w:r>
      <w:r>
        <w:t xml:space="preserve">order. To circumvent this, we can permute the repetitions per</w:t>
      </w:r>
      <w:r>
        <w:t xml:space="preserve"> </w:t>
      </w:r>
      <w:r>
        <w:t xml:space="preserve">conditions. I predict the permuted averages of the same features should</w:t>
      </w:r>
      <w:r>
        <w:t xml:space="preserve"> </w:t>
      </w:r>
      <w:r>
        <w:t xml:space="preserve">give rise to better AUC.</w:t>
      </w:r>
    </w:p>
    <w:bookmarkStart w:id="55" w:name="permute-repetitions-for-validity"/>
    <w:p>
      <w:pPr>
        <w:pStyle w:val="Heading3"/>
      </w:pPr>
      <w:r>
        <w:t xml:space="preserve">Permute repetitions for validity</w:t>
      </w:r>
    </w:p>
    <w:bookmarkEnd w:id="55"/>
    <w:bookmarkStart w:id="56" w:name="glm-combination"/>
    <w:p>
      <w:pPr>
        <w:pStyle w:val="Heading3"/>
      </w:pPr>
      <w:r>
        <w:t xml:space="preserve">GLM combination</w:t>
      </w:r>
    </w:p>
    <w:p>
      <w:pPr>
        <w:pStyle w:val="FirstParagraph"/>
      </w:pPr>
      <w:r>
        <w:t xml:space="preserve">Finally, we used General Linear Model (GLM)</w:t>
      </w:r>
    </w:p>
    <w:bookmarkEnd w:id="56"/>
    <w:bookmarkEnd w:id="57"/>
    <w:bookmarkEnd w:id="58"/>
    <w:bookmarkStart w:id="73" w:name="phase-i-results"/>
    <w:p>
      <w:pPr>
        <w:pStyle w:val="Heading1"/>
      </w:pPr>
      <w:r>
        <w:rPr>
          <w:i/>
          <w:iCs/>
        </w:rPr>
        <w:t xml:space="preserve">Phase I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To estimate the performance of each feature in calssifying SSS from</w:t>
      </w:r>
      <w:r>
        <w:t xml:space="preserve"> </w:t>
      </w:r>
      <w:r>
        <w:t xml:space="preserve">controls, we compute Reciever Operator Characteristics (ROC). Using</w:t>
      </w:r>
      <w:r>
        <w:t xml:space="preserve"> </w:t>
      </w:r>
      <w:r>
        <w:t xml:space="preserve">Youden’s criteria, we define optimal cutoffs.</w:t>
      </w:r>
    </w:p>
    <w:p>
      <w:pPr>
        <w:pStyle w:val="BodyText"/>
      </w:pPr>
      <w:r>
        <w:t xml:space="preserve">Discrimination Power:</w:t>
      </w:r>
    </w:p>
    <w:p>
      <w:pPr>
        <w:pStyle w:val="BodyText"/>
      </w:pPr>
      <m:oMath>
        <m:r>
          <m:t>D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π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t>o</m:t>
            </m:r>
            <m:r>
              <m:t>g</m:t>
            </m:r>
            <m:r>
              <m:t>X</m:t>
            </m:r>
            <m:r>
              <m:rPr>
                <m:sty m:val="p"/>
              </m:rPr>
              <m:t>+</m:t>
            </m:r>
            <m:r>
              <m:t>l</m:t>
            </m:r>
            <m:r>
              <m:t>o</m:t>
            </m:r>
            <m:r>
              <m:t>g</m:t>
            </m:r>
            <m:r>
              <m:t>Y</m:t>
            </m:r>
          </m:e>
        </m:d>
      </m:oMath>
    </w:p>
    <w:p>
      <w:pPr>
        <w:pStyle w:val="BodyText"/>
      </w:pPr>
      <w:r>
        <w:t xml:space="preserve">where: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t>e</m:t>
        </m:r>
        <m:r>
          <m:t>n</m:t>
        </m:r>
        <m:r>
          <m:t>s</m:t>
        </m:r>
        <m:r>
          <m:t>i</m:t>
        </m:r>
        <m:r>
          <m:t>t</m:t>
        </m:r>
        <m:r>
          <m:t>i</m:t>
        </m:r>
        <m:r>
          <m:t>v</m:t>
        </m:r>
        <m:r>
          <m:t>i</m:t>
        </m:r>
        <m:r>
          <m:t>t</m:t>
        </m:r>
        <m:r>
          <m:t>y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i</m:t>
            </m:r>
            <m:r>
              <m:t>t</m:t>
            </m:r>
            <m:r>
              <m:t>i</m:t>
            </m:r>
            <m:r>
              <m:t>v</m:t>
            </m:r>
            <m:r>
              <m:t>i</m:t>
            </m:r>
            <m:r>
              <m:t>t</m:t>
            </m:r>
            <m:r>
              <m:t>y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t>p</m:t>
        </m:r>
        <m:r>
          <m:t>e</m:t>
        </m:r>
        <m:r>
          <m:t>c</m:t>
        </m:r>
        <m:r>
          <m:t>i</m:t>
        </m:r>
        <m:r>
          <m:t>f</m:t>
        </m:r>
        <m:r>
          <m:t>i</m:t>
        </m:r>
        <m:r>
          <m:t>c</m:t>
        </m:r>
        <m:r>
          <m:t>i</m:t>
        </m:r>
        <m:r>
          <m:t>t</m:t>
        </m:r>
        <m:r>
          <m:t>y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t>p</m:t>
            </m:r>
            <m:r>
              <m:t>e</m:t>
            </m:r>
            <m:r>
              <m:t>c</m:t>
            </m:r>
            <m:r>
              <m:t>i</m:t>
            </m:r>
            <m:r>
              <m:t>f</m:t>
            </m:r>
            <m:r>
              <m:t>i</m:t>
            </m:r>
            <m:r>
              <m:t>c</m:t>
            </m:r>
            <m:r>
              <m:t>i</m:t>
            </m:r>
            <m:r>
              <m:t>t</m:t>
            </m:r>
            <m:r>
              <m:t>y</m:t>
            </m:r>
          </m:e>
        </m:d>
      </m:oMath>
    </w:p>
    <w:bookmarkStart w:id="65" w:name="summary-table-and-figure"/>
    <w:p>
      <w:pPr>
        <w:pStyle w:val="Heading2"/>
      </w:pPr>
      <w:r>
        <w:t xml:space="preserve">Summary table and figure</w:t>
      </w:r>
    </w:p>
    <w:p>
      <w:pPr>
        <w:pStyle w:val="TableCaption"/>
      </w:pPr>
      <w:r>
        <w:t xml:space="preserve">(#tab:summaryROC)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#tab:summaryROC)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Perimeter_zs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GA_cor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2,124.47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56.10</w:t>
            </w:r>
          </w:p>
        </w:tc>
      </w:tr>
    </w:tbl>
    <w:p>
      <w:pPr>
        <w:pStyle w:val="BodyText"/>
      </w:pPr>
      <w:r>
        <w:drawing>
          <wp:inline>
            <wp:extent cx="5943600" cy="629322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2.Pre-registeredReport_V11_files/figure-docx/summaryplot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3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2.Pre-registeredReport_V11_files/figure-docx/plotdensity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2" w:name="venn-diagram-criteriae"/>
    <w:p>
      <w:pPr>
        <w:pStyle w:val="Heading2"/>
      </w:pPr>
      <w:r>
        <w:t xml:space="preserve">Venn diagram criteriae</w:t>
      </w:r>
    </w:p>
    <w:p>
      <w:pPr>
        <w:pStyle w:val="FirstParagraph"/>
      </w:pPr>
      <w:r>
        <w:t xml:space="preserve">The idea is to have a wenn diagramm with how the top 6 features classify</w:t>
      </w:r>
      <w:r>
        <w:t xml:space="preserve"> </w:t>
      </w:r>
      <w:r>
        <w:t xml:space="preserve">the groups. If many ID are commonly missclassified by different</w:t>
      </w:r>
      <w:r>
        <w:t xml:space="preserve"> </w:t>
      </w:r>
      <w:r>
        <w:t xml:space="preserve">criteria, then it could have to do with the measuring methods rather</w:t>
      </w:r>
      <w:r>
        <w:t xml:space="preserve"> </w:t>
      </w:r>
      <w:r>
        <w:t xml:space="preserve">than the features.</w:t>
      </w:r>
    </w:p>
    <w:p>
      <w:pPr>
        <w:pStyle w:val="CaptionedFigure"/>
      </w:pPr>
      <w:r>
        <w:drawing>
          <wp:inline>
            <wp:extent cx="5943600" cy="5943600"/>
            <wp:effectExtent b="0" l="0" r="0" t="0"/>
            <wp:docPr descr="Avocado Venn Diagramm of self-report and tests" title="" id="67" name="Picture"/>
            <a:graphic>
              <a:graphicData uri="http://schemas.openxmlformats.org/drawingml/2006/picture">
                <pic:pic>
                  <pic:nvPicPr>
                    <pic:cNvPr descr="2.Pre-registeredReport_V11_files/figure-docx/figX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Avocado Venn Diagramm of self-report and tests</w:t>
      </w:r>
    </w:p>
    <w:p>
      <w:pPr>
        <w:pStyle w:val="CaptionedFigure"/>
      </w:pPr>
      <w:r>
        <w:drawing>
          <wp:inline>
            <wp:extent cx="5943600" cy="5943600"/>
            <wp:effectExtent b="0" l="0" r="0" t="0"/>
            <wp:docPr descr="Avocado Venn Diagramm of self-report and tests" title="" id="70" name="Picture"/>
            <a:graphic>
              <a:graphicData uri="http://schemas.openxmlformats.org/drawingml/2006/picture">
                <pic:pic>
                  <pic:nvPicPr>
                    <pic:cNvPr descr="2.Pre-registeredReport_V11_files/figure-docx/figX-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Avocado Venn Diagramm of self-report and tests</w:t>
      </w:r>
    </w:p>
    <w:bookmarkEnd w:id="72"/>
    <w:bookmarkEnd w:id="73"/>
    <w:bookmarkStart w:id="74" w:name="phase-ii-methods"/>
    <w:p>
      <w:pPr>
        <w:pStyle w:val="Heading1"/>
      </w:pPr>
      <w:r>
        <w:rPr>
          <w:i/>
          <w:iCs/>
        </w:rPr>
        <w:t xml:space="preserve">Phase II</w:t>
      </w:r>
      <w:r>
        <w:t xml:space="preserve"> </w:t>
      </w:r>
      <w:r>
        <w:t xml:space="preserve">Methods</w:t>
      </w:r>
    </w:p>
    <w:p>
      <w:pPr>
        <w:pStyle w:val="FirstParagraph"/>
      </w:pPr>
      <w:r>
        <w:t xml:space="preserve">Additional data using the same task will be collected in the future. The</w:t>
      </w:r>
      <w:r>
        <w:t xml:space="preserve"> </w:t>
      </w:r>
      <w:r>
        <w:t xml:space="preserve">procedure will be the same as for the previously decribed task only that</w:t>
      </w:r>
      <w:r>
        <w:t xml:space="preserve"> </w:t>
      </w:r>
      <w:r>
        <w:t xml:space="preserve">this time there will be four repetitions. We aim at extracting the same</w:t>
      </w:r>
      <w:r>
        <w:t xml:space="preserve"> </w:t>
      </w:r>
      <w:r>
        <w:t xml:space="preserve">criteria on this new dataset and compare whether we can accurately</w:t>
      </w:r>
      <w:r>
        <w:t xml:space="preserve"> </w:t>
      </w:r>
      <w:r>
        <w:t xml:space="preserve">predict the groups based on the thresholds described here.</w:t>
      </w:r>
    </w:p>
    <w:bookmarkEnd w:id="74"/>
    <w:bookmarkStart w:id="76" w:name="phase-ii-materials"/>
    <w:p>
      <w:pPr>
        <w:pStyle w:val="Heading1"/>
      </w:pPr>
      <w:r>
        <w:rPr>
          <w:i/>
          <w:iCs/>
        </w:rPr>
        <w:t xml:space="preserve">Phase II</w:t>
      </w:r>
      <w:r>
        <w:t xml:space="preserve"> </w:t>
      </w:r>
      <w:r>
        <w:t xml:space="preserve">Materials:</w:t>
      </w:r>
    </w:p>
    <w:p>
      <w:pPr>
        <w:pStyle w:val="FirstParagraph"/>
      </w:pPr>
      <w:r>
        <w:t xml:space="preserve">Materials are morte details on the procedure are described here</w:t>
      </w:r>
      <w:r>
        <w:t xml:space="preserve"> </w:t>
      </w:r>
      <w:hyperlink r:id="rId75">
        <w:r>
          <w:rPr>
            <w:rStyle w:val="Hyperlink"/>
          </w:rPr>
          <w:t xml:space="preserve">https://osf.io/pjb6e/?view_only=d467ebf4c1f94076ae4ac61298255065</w:t>
        </w:r>
      </w:hyperlink>
      <w:r>
        <w:t xml:space="preserve">.</w:t>
      </w:r>
    </w:p>
    <w:bookmarkEnd w:id="76"/>
    <w:bookmarkStart w:id="78" w:name="phase-ii-planned-population"/>
    <w:p>
      <w:pPr>
        <w:pStyle w:val="Heading1"/>
      </w:pPr>
      <w:r>
        <w:rPr>
          <w:i/>
          <w:iCs/>
        </w:rPr>
        <w:t xml:space="preserve">Phase II</w:t>
      </w:r>
      <w:r>
        <w:t xml:space="preserve"> </w:t>
      </w:r>
      <w:r>
        <w:t xml:space="preserve">Planned population</w:t>
      </w:r>
    </w:p>
    <w:p>
      <w:pPr>
        <w:pStyle w:val="FirstParagraph"/>
      </w:pPr>
      <w:hyperlink r:id="rId77">
        <w:r>
          <w:rPr>
            <w:rStyle w:val="Hyperlink"/>
            <w:b/>
            <w:bCs/>
          </w:rPr>
          <w:t xml:space="preserve">https://osf.io/6h8dx</w:t>
        </w:r>
      </w:hyperlink>
    </w:p>
    <w:bookmarkEnd w:id="78"/>
    <w:bookmarkStart w:id="8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Shifting from investigating consistency across stimulus position to</w:t>
      </w:r>
      <w:r>
        <w:t xml:space="preserve"> </w:t>
      </w:r>
      <w:r>
        <w:t xml:space="preserve">across repetitions have led to some improvement in ROC. The best</w:t>
      </w:r>
      <w:r>
        <w:t xml:space="preserve"> </w:t>
      </w:r>
      <w:r>
        <w:t xml:space="preserve">criteria was a GLM</w:t>
      </w:r>
    </w:p>
    <w:p>
      <w:pPr>
        <w:pStyle w:val="BodyText"/>
      </w:pPr>
      <w:r>
        <w:t xml:space="preserve">From the different features we extracted, topological validity across</w:t>
      </w:r>
      <w:r>
        <w:t xml:space="preserve"> </w:t>
      </w:r>
      <w:r>
        <w:t xml:space="preserve">the repetitions appeared to be the one leading to the largest Area Under</w:t>
      </w:r>
      <w:r>
        <w:t xml:space="preserve"> </w:t>
      </w:r>
      <w:r>
        <w:t xml:space="preserve">the Curve. The optimal cutoff was exactly 1.5, leading to a sensitivity</w:t>
      </w:r>
      <w:r>
        <w:t xml:space="preserve"> </w:t>
      </w:r>
      <w:r>
        <w:t xml:space="preserve">() and specificity ().</w:t>
      </w:r>
    </w:p>
    <w:p>
      <w:pPr>
        <w:pStyle w:val="BodyText"/>
      </w:pPr>
      <w:r>
        <w:t xml:space="preserve">The optimal criterion needs to be informed about the order between</w:t>
      </w:r>
      <w:r>
        <w:t xml:space="preserve"> </w:t>
      </w:r>
      <w:r>
        <w:t xml:space="preserve">inducers (i.e. to construct the polygons) and interestingly suggests</w:t>
      </w:r>
      <w:r>
        <w:t xml:space="preserve"> </w:t>
      </w:r>
      <w:r>
        <w:t xml:space="preserve">that synthetic inducer are structurally mapped following topological</w:t>
      </w:r>
      <w:r>
        <w:t xml:space="preserve"> </w:t>
      </w:r>
      <w:r>
        <w:t xml:space="preserve">rules analogous to geographical space structures. Hence suggesting a</w:t>
      </w:r>
      <w:r>
        <w:t xml:space="preserve"> </w:t>
      </w:r>
      <w:r>
        <w:t xml:space="preserve">spatial nature for the synthetic forms of space sequence synesthetes.</w:t>
      </w:r>
    </w:p>
    <w:bookmarkStart w:id="79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Although an optimal tool to discriminate SSS might be particularly</w:t>
      </w:r>
      <w:r>
        <w:t xml:space="preserve"> </w:t>
      </w:r>
      <w:r>
        <w:t xml:space="preserve">relevant for experimental purposes, it is important to consider some</w:t>
      </w:r>
      <w:r>
        <w:t xml:space="preserve"> </w:t>
      </w:r>
      <w:r>
        <w:t xml:space="preserve">limitations. These consistency tools are designed with a limited set of</w:t>
      </w:r>
      <w:r>
        <w:t xml:space="preserve"> </w:t>
      </w:r>
      <w:r>
        <w:t xml:space="preserve">sequential stimuli (i.e. months, weeks and the first ten natural</w:t>
      </w:r>
      <w:r>
        <w:t xml:space="preserve"> </w:t>
      </w:r>
      <w:r>
        <w:t xml:space="preserve">numbers).</w:t>
      </w:r>
      <w:r>
        <w:t xml:space="preserve"> </w:t>
      </w:r>
      <w:r>
        <w:t xml:space="preserve"> </w:t>
      </w:r>
      <w:r>
        <w:t xml:space="preserve">Other sequences might also be represented</w:t>
      </w:r>
      <w:r>
        <w:t xml:space="preserve"> </w:t>
      </w:r>
      <w:r>
        <w:t xml:space="preserve">in particular spatial positions such as temperature, ect.</w:t>
      </w:r>
      <w:r>
        <w:t xml:space="preserve"> </w:t>
      </w:r>
      <w:r>
        <w:t xml:space="preserve"> </w:t>
      </w:r>
      <w:r>
        <w:t xml:space="preserve">Another point is that rather than categorical,</w:t>
      </w:r>
      <w:r>
        <w:t xml:space="preserve"> </w:t>
      </w:r>
      <w:r>
        <w:t xml:space="preserve">synesthesia might be present on a continuum in the general population.</w:t>
      </w:r>
      <w:r>
        <w:t xml:space="preserve"> </w:t>
      </w:r>
      <w:r>
        <w:t xml:space="preserve">In that case diagnostic cutoffs might not be relevant, rather a score</w:t>
      </w:r>
      <w:r>
        <w:t xml:space="preserve"> </w:t>
      </w:r>
      <w:r>
        <w:t xml:space="preserve">would be necessary.</w:t>
      </w:r>
      <w:r>
        <w:t xml:space="preserve"> </w:t>
      </w:r>
      <w:r>
        <w:t xml:space="preserve"> </w:t>
      </w:r>
      <w:r>
        <w:t xml:space="preserve">Finally, there might also be an</w:t>
      </w:r>
      <w:r>
        <w:t xml:space="preserve"> </w:t>
      </w:r>
      <w:r>
        <w:t xml:space="preserve">issue of circularity - as with many diagnostics : how synesthesia is</w:t>
      </w:r>
      <w:r>
        <w:t xml:space="preserve"> </w:t>
      </w:r>
      <w:r>
        <w:t xml:space="preserve">defined determines how synestetes are detected which are the groups on</w:t>
      </w:r>
      <w:r>
        <w:t xml:space="preserve"> </w:t>
      </w:r>
      <w:r>
        <w:t xml:space="preserve">which synesthesia is defined</w:t>
      </w:r>
      <w:r>
        <w:t xml:space="preserve"> </w:t>
      </w:r>
      <w:r>
        <w:t xml:space="preserve">(</w:t>
      </w:r>
      <w:hyperlink w:anchor="ref-simner2012">
        <w:r>
          <w:rPr>
            <w:rStyle w:val="Hyperlink"/>
          </w:rPr>
          <w:t xml:space="preserve">Simner, 2012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 </w:t>
      </w:r>
      <w:r>
        <w:t xml:space="preserve">This is particularly relevant when the two diagnostic criteria on which</w:t>
      </w:r>
      <w:r>
        <w:t xml:space="preserve"> </w:t>
      </w:r>
      <w:r>
        <w:t xml:space="preserve">validity are compared are self-reports (i.e. being conscious) and</w:t>
      </w:r>
      <w:r>
        <w:t xml:space="preserve"> </w:t>
      </w:r>
      <w:r>
        <w:t xml:space="preserve">consistency.</w:t>
      </w:r>
    </w:p>
    <w:p>
      <w:pPr>
        <w:pStyle w:val="BodyText"/>
      </w:pPr>
      <w:r>
        <w:t xml:space="preserve">The previous limitations, the heterogeneity of methods used to detect</w:t>
      </w:r>
      <w:r>
        <w:t xml:space="preserve"> </w:t>
      </w:r>
      <w:r>
        <w:t xml:space="preserve">SSS, combined with the heterogeneity of SSS makes it difficult to have a</w:t>
      </w:r>
      <w:r>
        <w:t xml:space="preserve"> </w:t>
      </w:r>
      <w:r>
        <w:t xml:space="preserve">true estimated prevalence [</w:t>
      </w:r>
      <w:r>
        <w:t xml:space="preserve">Jonas and Price (</w:t>
      </w:r>
      <w:hyperlink w:anchor="ref-jonas2014">
        <w:r>
          <w:rPr>
            <w:rStyle w:val="Hyperlink"/>
          </w:rPr>
          <w:t xml:space="preserve">2014</w:t>
        </w:r>
      </w:hyperlink>
      <w:r>
        <w:t xml:space="preserve">)</w:t>
      </w:r>
      <w:r>
        <w:t xml:space="preserve">;</w:t>
      </w:r>
      <w:r>
        <w:t xml:space="preserve"> </w:t>
      </w:r>
      <w:r>
        <w:t xml:space="preserve">Brang et al. (</w:t>
      </w:r>
      <w:hyperlink w:anchor="ref-brang2010">
        <w:r>
          <w:rPr>
            <w:rStyle w:val="Hyperlink"/>
          </w:rPr>
          <w:t xml:space="preserve">2010</w:t>
        </w:r>
      </w:hyperlink>
      <w:r>
        <w:t xml:space="preserve">)</w:t>
      </w:r>
      <w:r>
        <w:t xml:space="preserve">;@sagiv2006].</w:t>
      </w:r>
    </w:p>
    <w:p>
      <w:pPr>
        <w:pStyle w:val="BodyText"/>
      </w:pPr>
      <w:r>
        <w:t xml:space="preserve">Numerals. While weekdays and months are finite sets, numerals are</w:t>
      </w:r>
      <w:r>
        <w:t xml:space="preserve"> </w:t>
      </w:r>
      <w:r>
        <w:t xml:space="preserve">infinite. It is possible that some criteria could improve wen taking a</w:t>
      </w:r>
      <w:r>
        <w:t xml:space="preserve"> </w:t>
      </w:r>
      <w:r>
        <w:t xml:space="preserve">larger set of numerals into account, in particular since there many</w:t>
      </w:r>
      <w:r>
        <w:t xml:space="preserve"> </w:t>
      </w:r>
      <w:r>
        <w:t xml:space="preserve">descriptively interesting form occur at different decimals (in</w:t>
      </w:r>
      <w:r>
        <w:t xml:space="preserve"> </w:t>
      </w:r>
      <w:r>
        <w:t xml:space="preserve">hindo-arabic decimal number system), see examples in</w:t>
      </w:r>
      <w:r>
        <w:t xml:space="preserve"> </w:t>
      </w:r>
      <w:r>
        <w:t xml:space="preserve">(</w:t>
      </w:r>
      <w:hyperlink w:anchor="ref-galton1880">
        <w:r>
          <w:rPr>
            <w:rStyle w:val="Hyperlink"/>
          </w:rPr>
          <w:t xml:space="preserve">Galton, 1880</w:t>
        </w:r>
      </w:hyperlink>
      <w:r>
        <w:t xml:space="preserve">)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SSS with 3D representations might also be under-diagnosed since the test</w:t>
      </w:r>
      <w:r>
        <w:t xml:space="preserve"> </w:t>
      </w:r>
      <w:r>
        <w:t xml:space="preserve">is in 2D. However it seems that most SSS are relatively good at</w:t>
      </w:r>
      <w:r>
        <w:t xml:space="preserve"> </w:t>
      </w:r>
      <w:r>
        <w:t xml:space="preserve">transposing 3D to 2D, which might be also explain by a more general</w:t>
      </w:r>
      <w:r>
        <w:t xml:space="preserve"> </w:t>
      </w:r>
      <w:r>
        <w:t xml:space="preserve">advantage in visuo-spatial memory for SSS</w:t>
      </w:r>
      <w:r>
        <w:t xml:space="preserve"> </w:t>
      </w:r>
      <w:r>
        <w:t xml:space="preserve">(</w:t>
      </w:r>
      <w:hyperlink w:anchor="ref-brang2010">
        <w:r>
          <w:rPr>
            <w:rStyle w:val="Hyperlink"/>
          </w:rPr>
          <w:t xml:space="preserve">Brang et al., 2010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Overlapping responses. A methodological issue concerns participants that</w:t>
      </w:r>
      <w:r>
        <w:t xml:space="preserve"> </w:t>
      </w:r>
      <w:r>
        <w:t xml:space="preserve">give the same responses across conditions. These responses are a</w:t>
      </w:r>
      <w:r>
        <w:t xml:space="preserve"> </w:t>
      </w:r>
      <w:r>
        <w:t xml:space="preserve">complication since we can’t infer whether those conditions did not give</w:t>
      </w:r>
      <w:r>
        <w:t xml:space="preserve"> </w:t>
      </w:r>
      <w:r>
        <w:t xml:space="preserve">rise to a synesthetic response in a synthesete or whether it is from a</w:t>
      </w:r>
      <w:r>
        <w:t xml:space="preserve"> </w:t>
      </w:r>
      <w:r>
        <w:t xml:space="preserve">control that was confused about the instructions. On a methodological</w:t>
      </w:r>
      <w:r>
        <w:t xml:space="preserve"> </w:t>
      </w:r>
      <w:r>
        <w:t xml:space="preserve">level, those responses can critically bias the diagnostic criteria. On</w:t>
      </w:r>
      <w:r>
        <w:t xml:space="preserve"> </w:t>
      </w:r>
      <w:r>
        <w:t xml:space="preserve">one side excluding those responses would imbalance the number of</w:t>
      </w:r>
      <w:r>
        <w:t xml:space="preserve"> </w:t>
      </w:r>
      <w:r>
        <w:t xml:space="preserve">responses by participant, on the other side including these responses</w:t>
      </w:r>
      <w:r>
        <w:t xml:space="preserve"> </w:t>
      </w:r>
      <w:r>
        <w:t xml:space="preserve">might bias the diagnostic.</w:t>
      </w:r>
    </w:p>
    <w:p>
      <w:pPr>
        <w:pStyle w:val="BodyText"/>
      </w:pPr>
      <w:r>
        <w:t xml:space="preserve">Future studies could use machine learning and/or neural network in an</w:t>
      </w:r>
      <w:r>
        <w:t xml:space="preserve"> </w:t>
      </w:r>
      <w:r>
        <w:t xml:space="preserve">attempt to fin the best criteria for classifying synesthetes from</w:t>
      </w:r>
      <w:r>
        <w:t xml:space="preserve"> </w:t>
      </w:r>
      <w:r>
        <w:t xml:space="preserve">control. This approach however need to have a clear explanability, since</w:t>
      </w:r>
      <w:r>
        <w:t xml:space="preserve"> </w:t>
      </w:r>
      <w:r>
        <w:t xml:space="preserve">the main use of a criteria is experimental. Ideally, we would need an</w:t>
      </w:r>
      <w:r>
        <w:t xml:space="preserve"> </w:t>
      </w:r>
      <w:r>
        <w:t xml:space="preserve">algorithm which could give individual probability to have SSS on which a</w:t>
      </w:r>
      <w:r>
        <w:t xml:space="preserve"> </w:t>
      </w:r>
      <w:r>
        <w:t xml:space="preserve">threshold would help to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</w:t>
      </w:r>
      <w:hyperlink w:anchor="ref-root2025">
        <w:r>
          <w:rPr>
            <w:rStyle w:val="Hyperlink"/>
          </w:rPr>
          <w:t xml:space="preserve">Root et al., 2025</w:t>
        </w:r>
      </w:hyperlink>
      <w:r>
        <w:t xml:space="preserve">)</w:t>
      </w:r>
      <w:r>
        <w:t xml:space="preserve">.</w:t>
      </w:r>
    </w:p>
    <w:bookmarkEnd w:id="79"/>
    <w:bookmarkEnd w:id="80"/>
    <w:bookmarkStart w:id="98" w:name="supplementary-material-phase-i"/>
    <w:p>
      <w:pPr>
        <w:pStyle w:val="Heading1"/>
      </w:pPr>
      <w:r>
        <w:t xml:space="preserve">Supplementary material phase I</w:t>
      </w:r>
    </w:p>
    <w:p>
      <w:pPr>
        <w:pStyle w:val="FirstParagraph"/>
      </w:pPr>
      <w:r>
        <w:t xml:space="preserve">To additionally test the validity of the criteria, we computed the ROC</w:t>
      </w:r>
      <w:r>
        <w:t xml:space="preserve"> </w:t>
      </w:r>
      <w:r>
        <w:t xml:space="preserve">again by subsampling the groups based on the questionnaire scores so to</w:t>
      </w:r>
      <w:r>
        <w:t xml:space="preserve"> </w:t>
      </w:r>
      <w:r>
        <w:t xml:space="preserve">have more extreme groups. This was done only on the data from Ward,</w:t>
      </w:r>
      <w:r>
        <w:t xml:space="preserve"> </w:t>
      </w:r>
      <w:r>
        <w:t xml:space="preserve">since the other did not include a questionnaire in the data.</w:t>
      </w:r>
    </w:p>
    <w:bookmarkStart w:id="81" w:name="sm1-subsampled-data-from-ward"/>
    <w:p>
      <w:pPr>
        <w:pStyle w:val="Heading2"/>
      </w:pPr>
      <w:r>
        <w:t xml:space="preserve">SM1 subsampled data (from Ward)</w:t>
      </w:r>
    </w:p>
    <w:p>
      <w:pPr>
        <w:pStyle w:val="FirstParagraph"/>
      </w:pPr>
      <w:r>
        <w:t xml:space="preserve">This are the ROC results when including only the data from Ward</w:t>
      </w:r>
    </w:p>
    <w:p>
      <w:pPr>
        <w:pStyle w:val="TableCaption"/>
      </w:pPr>
      <w:r>
        <w:t xml:space="preserve">(#tab:unnamed-chunk-7)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#tab:unnamed-chunk-7)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GA_cor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3,864.38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50.46</w:t>
            </w:r>
          </w:p>
        </w:tc>
      </w:tr>
    </w:tbl>
    <w:bookmarkEnd w:id="81"/>
    <w:bookmarkStart w:id="91" w:name="Xe9b69834d1f04588cb1524ebce99d9a0d3402f5"/>
    <w:p>
      <w:pPr>
        <w:pStyle w:val="Heading2"/>
      </w:pPr>
      <w:r>
        <w:t xml:space="preserve">SM2 subsambled data by questionnaire quantiles (10% steps)</w:t>
      </w:r>
    </w:p>
    <w:p>
      <w:pPr>
        <w:pStyle w:val="FirstParagraph"/>
      </w:pPr>
      <w:r>
        <w:t xml:space="preserve">In the following, we compare the data sampled by the questionnaire</w:t>
      </w:r>
      <w:r>
        <w:t xml:space="preserve"> </w:t>
      </w:r>
      <w:r>
        <w:t xml:space="preserve">score. Based on the distribution of the questionnaire score, we sampled</w:t>
      </w:r>
      <w:r>
        <w:t xml:space="preserve"> </w:t>
      </w:r>
      <w:r>
        <w:t xml:space="preserve">the 10 % with the lowest and 10 % with the highest scores. Those are</w:t>
      </w:r>
      <w:r>
        <w:t xml:space="preserve"> </w:t>
      </w:r>
      <w:r>
        <w:t xml:space="preserve">then compared with the 20 and 20 % and so on until 40 and 40 %. The</w:t>
      </w:r>
      <w:r>
        <w:t xml:space="preserve"> </w:t>
      </w:r>
      <w:r>
        <w:t xml:space="preserve">rationale of this procedure is that AUC, sensitivity and specificity</w:t>
      </w:r>
      <w:r>
        <w:t xml:space="preserve"> </w:t>
      </w:r>
      <w:r>
        <w:t xml:space="preserve">should remain stable across percentiles for a feature to be valid. In</w:t>
      </w:r>
      <w:r>
        <w:t xml:space="preserve"> </w:t>
      </w:r>
      <w:r>
        <w:t xml:space="preserve">other words the ROC should remain unchanged if we take extreme groups</w:t>
      </w:r>
      <w:r>
        <w:t xml:space="preserve"> </w:t>
      </w:r>
      <w:r>
        <w:t xml:space="preserve">compared to less extreme ones.</w:t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2.Pre-registeredReport_V11_files/figure-docx/unnamed-chunk-8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2.Pre-registeredReport_V11_files/figure-docx/unnamed-chunk-8-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2.Pre-registeredReport_V11_files/figure-docx/unnamed-chunk-8-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sm3-by-dataset"/>
    <w:p>
      <w:pPr>
        <w:pStyle w:val="Heading2"/>
      </w:pPr>
      <w:r>
        <w:t xml:space="preserve">SM3 By dataset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“Rothen</w:t>
      </w:r>
      <w:r>
        <w:t xml:space="preserve"> 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"/>
        <w:gridCol w:w="1667"/>
        <w:gridCol w:w="500"/>
        <w:gridCol w:w="416"/>
        <w:gridCol w:w="833"/>
        <w:gridCol w:w="1000"/>
        <w:gridCol w:w="1000"/>
        <w:gridCol w:w="500"/>
        <w:gridCol w:w="500"/>
        <w:gridCol w:w="583"/>
        <w:gridCol w:w="6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GA_cor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68.22</w:t>
            </w:r>
          </w:p>
        </w:tc>
      </w:tr>
    </w:tbl>
    <w:p>
      <w:pPr>
        <w:pStyle w:val="BodyText"/>
      </w:pPr>
      <w:r>
        <w:t xml:space="preserve">[1]</w:t>
      </w:r>
      <w:r>
        <w:t xml:space="preserve"> </w:t>
      </w:r>
      <w:r>
        <w:t xml:space="preserve">“Ward</w:t>
      </w:r>
      <w:r>
        <w:t xml:space="preserve"> 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"/>
        <w:gridCol w:w="1667"/>
        <w:gridCol w:w="500"/>
        <w:gridCol w:w="416"/>
        <w:gridCol w:w="833"/>
        <w:gridCol w:w="1000"/>
        <w:gridCol w:w="1000"/>
        <w:gridCol w:w="500"/>
        <w:gridCol w:w="500"/>
        <w:gridCol w:w="583"/>
        <w:gridCol w:w="6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GA_cor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51.01</w:t>
            </w:r>
          </w:p>
        </w:tc>
      </w:tr>
    </w:tbl>
    <w:p>
      <w:pPr>
        <w:pStyle w:val="BodyText"/>
      </w:pPr>
      <w:r>
        <w:t xml:space="preserve">[1]</w:t>
      </w:r>
      <w:r>
        <w:t xml:space="preserve"> </w:t>
      </w:r>
      <w:r>
        <w:t xml:space="preserve">“Ward2</w:t>
      </w:r>
      <w:r>
        <w:t xml:space="preserve"> 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"/>
        <w:gridCol w:w="1667"/>
        <w:gridCol w:w="500"/>
        <w:gridCol w:w="416"/>
        <w:gridCol w:w="833"/>
        <w:gridCol w:w="1000"/>
        <w:gridCol w:w="1000"/>
        <w:gridCol w:w="500"/>
        <w:gridCol w:w="500"/>
        <w:gridCol w:w="583"/>
        <w:gridCol w:w="6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GA_cor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64.53</w:t>
            </w:r>
          </w:p>
        </w:tc>
      </w:tr>
    </w:tbl>
    <w:p>
      <w:pPr>
        <w:pStyle w:val="BodyText"/>
      </w:pPr>
      <w:r>
        <w:t xml:space="preserve">[1]</w:t>
      </w:r>
      <w:r>
        <w:t xml:space="preserve"> </w:t>
      </w:r>
      <w:r>
        <w:t xml:space="preserve">“PeterCor</w:t>
      </w:r>
      <w:r>
        <w:t xml:space="preserve"> </w:t>
      </w:r>
      <w:r>
        <w:t xml:space="preserve"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"/>
        <w:gridCol w:w="1632"/>
        <w:gridCol w:w="489"/>
        <w:gridCol w:w="408"/>
        <w:gridCol w:w="816"/>
        <w:gridCol w:w="979"/>
        <w:gridCol w:w="979"/>
        <w:gridCol w:w="571"/>
        <w:gridCol w:w="571"/>
        <w:gridCol w:w="571"/>
        <w:gridCol w:w="65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Area_zs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GA_cor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62.38</w:t>
            </w:r>
          </w:p>
        </w:tc>
      </w:tr>
    </w:tbl>
    <w:bookmarkEnd w:id="92"/>
    <w:bookmarkStart w:id="93" w:name="sm4-reliability"/>
    <w:p>
      <w:pPr>
        <w:pStyle w:val="Heading2"/>
      </w:pPr>
      <w:r>
        <w:t xml:space="preserve">SM4 Reliability</w:t>
      </w:r>
    </w:p>
    <w:p>
      <w:pPr>
        <w:pStyle w:val="SourceCode"/>
      </w:pPr>
      <w:r>
        <w:rPr>
          <w:rStyle w:val="VerbatimChar"/>
        </w:rPr>
        <w:t xml:space="preserve">[1] "Rothen \n"</w:t>
      </w:r>
      <w:r>
        <w:br/>
      </w:r>
      <w:r>
        <w:br/>
      </w:r>
      <w:r>
        <w:br/>
      </w:r>
      <w:r>
        <w:rPr>
          <w:rStyle w:val="VerbatimChar"/>
        </w:rPr>
        <w:t xml:space="preserve">|   |Feature             |   AUC|   DP| threshold| sensitivity| specificity|   ppv|   npv| ci_low| ci_high|</w:t>
      </w:r>
      <w:r>
        <w:br/>
      </w:r>
      <w:r>
        <w:rPr>
          <w:rStyle w:val="VerbatimChar"/>
        </w:rPr>
        <w:t xml:space="preserve">|:--|:-------------------|-----:|----:|---------:|-----------:|-----------:|-----:|-----:|------:|-------:|</w:t>
      </w:r>
      <w:r>
        <w:br/>
      </w:r>
      <w:r>
        <w:rPr>
          <w:rStyle w:val="VerbatimChar"/>
        </w:rPr>
        <w:t xml:space="preserve">|13 |GLMValid_area_zs    | 79.76| 2.00|     -0.06|       77.49|       69.12| 77.89| 68.61|  74.98|   84.55|</w:t>
      </w:r>
      <w:r>
        <w:br/>
      </w:r>
      <w:r>
        <w:rPr>
          <w:rStyle w:val="VerbatimChar"/>
        </w:rPr>
        <w:t xml:space="preserve">|11 |isValid_M_perm_ID   | 79.08| 1.97|      0.20|       64.92|       80.15| 82.12| 61.93|  74.23|   83.93|</w:t>
      </w:r>
      <w:r>
        <w:br/>
      </w:r>
      <w:r>
        <w:rPr>
          <w:rStyle w:val="VerbatimChar"/>
        </w:rPr>
        <w:t xml:space="preserve">|12 |isValid_Med_perm_ID | 77.45| 1.86|      0.14|       69.11|       75.00| 79.52| 63.35|  72.57|   82.34|</w:t>
      </w:r>
      <w:r>
        <w:br/>
      </w:r>
      <w:r>
        <w:rPr>
          <w:rStyle w:val="VerbatimChar"/>
        </w:rPr>
        <w:t xml:space="preserve">|3  |Perimeter_zs        | 75.80| 1.90|      1.72|       70.68|       74.26| 79.41| 64.33|  70.26|   81.34|</w:t>
      </w:r>
      <w:r>
        <w:br/>
      </w:r>
      <w:r>
        <w:rPr>
          <w:rStyle w:val="VerbatimChar"/>
        </w:rPr>
        <w:t xml:space="preserve">|8  |isValidStruct_GA    | 75.34| 1.61|      0.17|       70.68|       68.38| 75.84| 62.42|  70.22|   80.46|</w:t>
      </w:r>
      <w:r>
        <w:br/>
      </w:r>
      <w:r>
        <w:rPr>
          <w:rStyle w:val="VerbatimChar"/>
        </w:rPr>
        <w:t xml:space="preserve">|4  |SelfInter           | 69.42| 1.56|      1.17|       79.06|       56.62| 71.90| 65.81|  63.47|   75.36|</w:t>
      </w:r>
      <w:r>
        <w:br/>
      </w:r>
      <w:r>
        <w:rPr>
          <w:rStyle w:val="VerbatimChar"/>
        </w:rPr>
        <w:t xml:space="preserve">|7  |isSimple_GA         | 68.77| 1.14|      0.28|       58.12|       69.85| 73.03| 54.29|  63.06|   74.47|</w:t>
      </w:r>
      <w:r>
        <w:br/>
      </w:r>
      <w:r>
        <w:rPr>
          <w:rStyle w:val="VerbatimChar"/>
        </w:rPr>
        <w:t xml:space="preserve">|2  |Area_zs             | 68.49| 1.61|      0.07|       73.82|       64.71| 74.60| 63.77|  62.12|   74.85|</w:t>
      </w:r>
      <w:r>
        <w:br/>
      </w:r>
      <w:r>
        <w:rPr>
          <w:rStyle w:val="VerbatimChar"/>
        </w:rPr>
        <w:t xml:space="preserve">|5  |areaPoly_GA         | 67.81| 1.25|      1.68|       49.21|       78.68| 76.42| 52.45|  62.03|   73.59|</w:t>
      </w:r>
      <w:r>
        <w:br/>
      </w:r>
      <w:r>
        <w:rPr>
          <w:rStyle w:val="VerbatimChar"/>
        </w:rPr>
        <w:t xml:space="preserve">|6  |perim_GA            | 61.30| 1.27|      9.38|       75.92|       53.68| 69.71| 61.34|  54.74|   67.85|</w:t>
      </w:r>
      <w:r>
        <w:br/>
      </w:r>
      <w:r>
        <w:rPr>
          <w:rStyle w:val="VerbatimChar"/>
        </w:rPr>
        <w:t xml:space="preserve">|9  |M_corr              | 59.64| 0.89|      0.10|       70.16|       51.47| 67.00| 55.12|  53.12|   66.17|</w:t>
      </w:r>
      <w:r>
        <w:br/>
      </w:r>
      <w:r>
        <w:rPr>
          <w:rStyle w:val="VerbatimChar"/>
        </w:rPr>
        <w:t xml:space="preserve">|1  |Area                | 55.97| 1.01|   2339.76|       75.39|       47.79| 66.98| 58.04|  49.14|   62.80|</w:t>
      </w:r>
      <w:r>
        <w:br/>
      </w:r>
      <w:r>
        <w:rPr>
          <w:rStyle w:val="VerbatimChar"/>
        </w:rPr>
        <w:t xml:space="preserve">|10 |GA_cor              | 55.45| 0.87|      0.11|       85.86|       28.68| 62.84| 59.09|  48.91|   61.98|</w:t>
      </w:r>
      <w:r>
        <w:br/>
      </w:r>
      <w:r>
        <w:br/>
      </w:r>
      <w:r>
        <w:br/>
      </w:r>
      <w:r>
        <w:rPr>
          <w:rStyle w:val="VerbatimChar"/>
        </w:rPr>
        <w:t xml:space="preserve">&lt;!-- --&gt;</w:t>
      </w:r>
    </w:p>
    <w:p>
      <w:pPr>
        <w:pStyle w:val="SourceCode"/>
      </w:pPr>
      <w:r>
        <w:rPr>
          <w:rStyle w:val="VerbatimChar"/>
        </w:rPr>
        <w:t xml:space="preserve">[1] "Ward \n"</w:t>
      </w:r>
      <w:r>
        <w:br/>
      </w:r>
      <w:r>
        <w:br/>
      </w:r>
      <w:r>
        <w:br/>
      </w:r>
      <w:r>
        <w:rPr>
          <w:rStyle w:val="VerbatimChar"/>
        </w:rPr>
        <w:t xml:space="preserve">|   |Feature             |   AUC|   DP| threshold| sensitivity| specificity|   ppv|   npv| ci_low| ci_high|</w:t>
      </w:r>
      <w:r>
        <w:br/>
      </w:r>
      <w:r>
        <w:rPr>
          <w:rStyle w:val="VerbatimChar"/>
        </w:rPr>
        <w:t xml:space="preserve">|:--|:-------------------|-----:|----:|---------:|-----------:|-----------:|-----:|-----:|------:|-------:|</w:t>
      </w:r>
      <w:r>
        <w:br/>
      </w:r>
      <w:r>
        <w:rPr>
          <w:rStyle w:val="VerbatimChar"/>
        </w:rPr>
        <w:t xml:space="preserve">|3  |Perimeter_zs        | 81.18| 2.26|      1.97|       76.50|       75.69| 80.00| 71.71|  76.27|   86.09|</w:t>
      </w:r>
      <w:r>
        <w:br/>
      </w:r>
      <w:r>
        <w:rPr>
          <w:rStyle w:val="VerbatimChar"/>
        </w:rPr>
        <w:t xml:space="preserve">|11 |isValid_M_perm_ID   | 80.96| 2.25|      0.17|       71.58|       79.86| 81.88| 68.86|  76.13|   85.79|</w:t>
      </w:r>
      <w:r>
        <w:br/>
      </w:r>
      <w:r>
        <w:rPr>
          <w:rStyle w:val="VerbatimChar"/>
        </w:rPr>
        <w:t xml:space="preserve">|13 |GLMValid_area_zs    | 80.68| 2.29|      0.17|       73.22|       79.17| 81.71| 69.94|  75.84|   85.53|</w:t>
      </w:r>
      <w:r>
        <w:br/>
      </w:r>
      <w:r>
        <w:rPr>
          <w:rStyle w:val="VerbatimChar"/>
        </w:rPr>
        <w:t xml:space="preserve">|12 |isValid_Med_perm_ID | 78.97| 2.04|      0.17|       68.85|       78.47| 80.25| 66.47|  74.08|   83.86|</w:t>
      </w:r>
      <w:r>
        <w:br/>
      </w:r>
      <w:r>
        <w:rPr>
          <w:rStyle w:val="VerbatimChar"/>
        </w:rPr>
        <w:t xml:space="preserve">|8  |isValidStruct_GA    | 78.76| 2.02|      0.17|       73.22|       74.31| 78.36| 68.59|  73.84|   83.68|</w:t>
      </w:r>
      <w:r>
        <w:br/>
      </w:r>
      <w:r>
        <w:rPr>
          <w:rStyle w:val="VerbatimChar"/>
        </w:rPr>
        <w:t xml:space="preserve">|5  |areaPoly_GA         | 74.13| 1.55|      1.29|       68.31|       69.44| 73.96| 63.29|  68.77|   79.49|</w:t>
      </w:r>
      <w:r>
        <w:br/>
      </w:r>
      <w:r>
        <w:rPr>
          <w:rStyle w:val="VerbatimChar"/>
        </w:rPr>
        <w:t xml:space="preserve">|4  |SelfInter           | 73.98| 2.25|      2.28|       90.16|       52.08| 70.51| 80.65|  68.31|   79.66|</w:t>
      </w:r>
      <w:r>
        <w:br/>
      </w:r>
      <w:r>
        <w:rPr>
          <w:rStyle w:val="VerbatimChar"/>
        </w:rPr>
        <w:t xml:space="preserve">|2  |Area_zs             | 73.33| 1.86|      0.08|       75.96|       68.06| 75.14| 69.01|  67.56|   79.09|</w:t>
      </w:r>
      <w:r>
        <w:br/>
      </w:r>
      <w:r>
        <w:rPr>
          <w:rStyle w:val="VerbatimChar"/>
        </w:rPr>
        <w:t xml:space="preserve">|7  |isSimple_GA         | 71.11| 1.40|      0.28|       63.39|       70.83| 73.42| 60.36|  65.54|   76.68|</w:t>
      </w:r>
      <w:r>
        <w:br/>
      </w:r>
      <w:r>
        <w:rPr>
          <w:rStyle w:val="VerbatimChar"/>
        </w:rPr>
        <w:t xml:space="preserve">|6  |perim_GA            | 59.87| 1.28|      9.85|       83.06|       43.06| 64.96| 66.67|  53.33|   66.41|</w:t>
      </w:r>
      <w:r>
        <w:br/>
      </w:r>
      <w:r>
        <w:rPr>
          <w:rStyle w:val="VerbatimChar"/>
        </w:rPr>
        <w:t xml:space="preserve">|9  |M_corr              | 58.22| 0.94|      0.20|       80.87|       38.19| 62.45| 61.11|  51.78|   64.67|</w:t>
      </w:r>
      <w:r>
        <w:br/>
      </w:r>
      <w:r>
        <w:rPr>
          <w:rStyle w:val="VerbatimChar"/>
        </w:rPr>
        <w:t xml:space="preserve">|10 |GA_cor              | 57.26| 1.17|      0.08|       86.89|       33.33| 62.35| 66.67|  50.78|   63.73|</w:t>
      </w:r>
      <w:r>
        <w:br/>
      </w:r>
      <w:r>
        <w:rPr>
          <w:rStyle w:val="VerbatimChar"/>
        </w:rPr>
        <w:t xml:space="preserve">|1  |Area                | 46.25| 0.63|   3862.02|       84.15|       26.39| 59.23| 56.72|  39.53|   52.98|</w:t>
      </w:r>
      <w:r>
        <w:br/>
      </w:r>
      <w:r>
        <w:br/>
      </w:r>
      <w:r>
        <w:br/>
      </w:r>
      <w:r>
        <w:rPr>
          <w:rStyle w:val="VerbatimChar"/>
        </w:rPr>
        <w:t xml:space="preserve">&lt;!-- --&gt;</w:t>
      </w:r>
    </w:p>
    <w:bookmarkEnd w:id="93"/>
    <w:bookmarkStart w:id="97" w:name="sm5-correlation-with-self-report"/>
    <w:p>
      <w:pPr>
        <w:pStyle w:val="Heading2"/>
      </w:pPr>
      <w:r>
        <w:t xml:space="preserve">SM5 Correlation with self-report</w:t>
      </w:r>
    </w:p>
    <w:p>
      <w:pPr>
        <w:pStyle w:val="FirstParagraph"/>
      </w:pPr>
      <w:r>
        <w:t xml:space="preserve">The best criterion should also best correlate with SSS self-reported</w:t>
      </w:r>
      <w:r>
        <w:t xml:space="preserve"> </w:t>
      </w:r>
      <w:r>
        <w:t xml:space="preserve">questionnaire score.</w:t>
      </w:r>
      <w:r>
        <w:br/>
      </w:r>
      <w:r>
        <w:t xml:space="preserve">Works only with Ward’s aggregated data</w:t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2.Pre-registeredReport_V11_files/figure-docx/unnamed-chunk-11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End w:id="98"/>
    <w:bookmarkStart w:id="129" w:name="references"/>
    <w:p>
      <w:pPr>
        <w:pStyle w:val="Heading1"/>
      </w:pPr>
      <w:r>
        <w:t xml:space="preserve">References</w:t>
      </w:r>
    </w:p>
    <w:bookmarkStart w:id="128" w:name="refs"/>
    <w:bookmarkStart w:id="100" w:name="ref-brang2010"/>
    <w:p>
      <w:pPr>
        <w:pStyle w:val="Bibliography"/>
      </w:pPr>
      <w:r>
        <w:t xml:space="preserve">Brang, D., Teuscher, U., Ramachandran, V. S., &amp; Coulson, S. (2010). Temporal sequences, synesthetic mappings, and cultural biases: The geography of time.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(1), 311–320.</w:t>
      </w:r>
      <w:r>
        <w:t xml:space="preserve"> </w:t>
      </w:r>
      <w:hyperlink r:id="rId99">
        <w:r>
          <w:rPr>
            <w:rStyle w:val="Hyperlink"/>
          </w:rPr>
          <w:t xml:space="preserve">https://doi.org/10.1016/j.concog.2010.01.003</w:t>
        </w:r>
      </w:hyperlink>
    </w:p>
    <w:bookmarkEnd w:id="100"/>
    <w:bookmarkStart w:id="102" w:name="ref-deroy2013"/>
    <w:p>
      <w:pPr>
        <w:pStyle w:val="Bibliography"/>
      </w:pPr>
      <w:r>
        <w:t xml:space="preserve">Deroy, O., &amp; Spence, C. (2013). Why we are not all synesthetes (not even weakly so).</w:t>
      </w:r>
      <w:r>
        <w:t xml:space="preserve"> </w:t>
      </w:r>
      <w:r>
        <w:rPr>
          <w:i/>
          <w:iCs/>
        </w:rPr>
        <w:t xml:space="preserve">Psychonomic Bulletin &amp;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(4), 643–664.</w:t>
      </w:r>
      <w:r>
        <w:t xml:space="preserve"> </w:t>
      </w:r>
      <w:hyperlink r:id="rId101">
        <w:r>
          <w:rPr>
            <w:rStyle w:val="Hyperlink"/>
          </w:rPr>
          <w:t xml:space="preserve">https://doi.org/10.3758/s13423-013-0387-2</w:t>
        </w:r>
      </w:hyperlink>
    </w:p>
    <w:bookmarkEnd w:id="102"/>
    <w:bookmarkStart w:id="104" w:name="ref-dixon2004"/>
    <w:p>
      <w:pPr>
        <w:pStyle w:val="Bibliography"/>
      </w:pPr>
      <w:r>
        <w:t xml:space="preserve">Dixon, M. J., Smilek, D., &amp; Merikle, P. M. (2004). Not all synaesthetes are created equal: Projector versus associator synaesthetes.</w:t>
      </w:r>
      <w:r>
        <w:t xml:space="preserve"> </w:t>
      </w:r>
      <w:r>
        <w:rPr>
          <w:i/>
          <w:iCs/>
        </w:rPr>
        <w:t xml:space="preserve">Cognitive, Affective, &amp; Behavioral Neuroscience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(3), 335–343.</w:t>
      </w:r>
      <w:r>
        <w:t xml:space="preserve"> </w:t>
      </w:r>
      <w:hyperlink r:id="rId103">
        <w:r>
          <w:rPr>
            <w:rStyle w:val="Hyperlink"/>
          </w:rPr>
          <w:t xml:space="preserve">https://doi.org/10.3758/CABN.4.3.335</w:t>
        </w:r>
      </w:hyperlink>
    </w:p>
    <w:bookmarkEnd w:id="104"/>
    <w:bookmarkStart w:id="106" w:name="ref-galton1880"/>
    <w:p>
      <w:pPr>
        <w:pStyle w:val="Bibliography"/>
      </w:pPr>
      <w:r>
        <w:t xml:space="preserve">Galton, F. (1880). Visualised Numerals.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(533), 252–256.</w:t>
      </w:r>
      <w:r>
        <w:t xml:space="preserve"> </w:t>
      </w:r>
      <w:hyperlink r:id="rId105">
        <w:r>
          <w:rPr>
            <w:rStyle w:val="Hyperlink"/>
          </w:rPr>
          <w:t xml:space="preserve">https://doi.org/10.1038/021252a0</w:t>
        </w:r>
      </w:hyperlink>
    </w:p>
    <w:bookmarkEnd w:id="106"/>
    <w:bookmarkStart w:id="108" w:name="ref-jonas2014"/>
    <w:p>
      <w:pPr>
        <w:pStyle w:val="Bibliography"/>
      </w:pPr>
      <w:r>
        <w:t xml:space="preserve">Jonas, C. N., &amp; Price, M. C. (2014). Not all synesthetes are alike: Spatial vs. Visual dimensions of sequence-space synesthesia.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https://doi.org/10.3389/fpsyg.2014.01171</w:t>
        </w:r>
      </w:hyperlink>
    </w:p>
    <w:bookmarkEnd w:id="108"/>
    <w:bookmarkStart w:id="110" w:name="ref-pebesma2018"/>
    <w:p>
      <w:pPr>
        <w:pStyle w:val="Bibliography"/>
      </w:pPr>
      <w:r>
        <w:t xml:space="preserve">Pebesma, E. (2018). Simple Features for R: Standardized Support for Spatial Vector Data.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(1), 439–446.</w:t>
      </w:r>
      <w:r>
        <w:t xml:space="preserve"> </w:t>
      </w:r>
      <w:hyperlink r:id="rId109">
        <w:r>
          <w:rPr>
            <w:rStyle w:val="Hyperlink"/>
          </w:rPr>
          <w:t xml:space="preserve">https://doi.org/10.32614/RJ-2018-009</w:t>
        </w:r>
      </w:hyperlink>
    </w:p>
    <w:bookmarkEnd w:id="110"/>
    <w:bookmarkStart w:id="112" w:name="ref-root2021"/>
    <w:p>
      <w:pPr>
        <w:pStyle w:val="Bibliography"/>
      </w:pPr>
      <w:r>
        <w:t xml:space="preserve">Root, N., Asano, M., Melero, H., Kim, C.-Y., Sidoroff-Dorso, A. V., Vatakis, A., Yokosawa, K., Ramachandran, V., &amp; Rouw, R. (2021). Do the colors of your letters depend on your language? Language-dependent and universal influences on grapheme-color synesthesia in seven languages.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95</w:t>
      </w:r>
      <w:r>
        <w:t xml:space="preserve">, 103192.</w:t>
      </w:r>
      <w:r>
        <w:t xml:space="preserve"> </w:t>
      </w:r>
      <w:hyperlink r:id="rId111">
        <w:r>
          <w:rPr>
            <w:rStyle w:val="Hyperlink"/>
          </w:rPr>
          <w:t xml:space="preserve">https://doi.org/10.1016/j.concog.2021.103192</w:t>
        </w:r>
      </w:hyperlink>
    </w:p>
    <w:bookmarkEnd w:id="112"/>
    <w:bookmarkStart w:id="114" w:name="ref-root2025"/>
    <w:p>
      <w:pPr>
        <w:pStyle w:val="Bibliography"/>
      </w:pPr>
      <w:r>
        <w:t xml:space="preserve">Root, N., Chkhaidze, A., Melero, H., Sidoroff-Dorso, A., Volberg, G., Zhang, Y., &amp; Rouw, R. (2025). How</w:t>
      </w:r>
      <w:r>
        <w:t xml:space="preserve"> </w:t>
      </w:r>
      <w:r>
        <w:t xml:space="preserve">“</w:t>
      </w:r>
      <w:r>
        <w:t xml:space="preserve">diagnostic</w:t>
      </w:r>
      <w:r>
        <w:t xml:space="preserve">”</w:t>
      </w:r>
      <w:r>
        <w:t xml:space="preserve"> </w:t>
      </w:r>
      <w:r>
        <w:t xml:space="preserve">criteria interact to shape synesthetic behavior: The role of self-report and test</w:t>
      </w:r>
      <w:r>
        <w:t xml:space="preserve">retest consistency in synesthesia research.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129</w:t>
      </w:r>
      <w:r>
        <w:t xml:space="preserve">, 103819.</w:t>
      </w:r>
      <w:r>
        <w:t xml:space="preserve"> </w:t>
      </w:r>
      <w:hyperlink r:id="rId113">
        <w:r>
          <w:rPr>
            <w:rStyle w:val="Hyperlink"/>
          </w:rPr>
          <w:t xml:space="preserve">https://doi.org/10.1016/j.concog.2025.103819</w:t>
        </w:r>
      </w:hyperlink>
    </w:p>
    <w:bookmarkEnd w:id="114"/>
    <w:bookmarkStart w:id="116" w:name="ref-rothen2016"/>
    <w:p>
      <w:pPr>
        <w:pStyle w:val="Bibliography"/>
      </w:pPr>
      <w:r>
        <w:t xml:space="preserve">Rothen, N., Jünemann, K., Mealor, A. D., Burckhardt, V., &amp; Ward, J. (2016). The sensitivity and specificity of a diagnostic test of sequence-space synesthesia.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48</w:t>
      </w:r>
      <w:r>
        <w:t xml:space="preserve">(4), 1476–1481.</w:t>
      </w:r>
      <w:r>
        <w:t xml:space="preserve"> </w:t>
      </w:r>
      <w:hyperlink r:id="rId115">
        <w:r>
          <w:rPr>
            <w:rStyle w:val="Hyperlink"/>
          </w:rPr>
          <w:t xml:space="preserve">https://doi.org/10.3758/s13428-015-0656-2</w:t>
        </w:r>
      </w:hyperlink>
    </w:p>
    <w:bookmarkEnd w:id="116"/>
    <w:bookmarkStart w:id="118" w:name="ref-rothen2013a"/>
    <w:p>
      <w:pPr>
        <w:pStyle w:val="Bibliography"/>
      </w:pPr>
      <w:r>
        <w:t xml:space="preserve">Rothen, N., Seth, A. K., Witzel, C., &amp; Ward, J. (2013). Diagnosing synaesthesia with online colour pickers: Maximising sensitivity and specificity.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</w:t>
      </w:r>
      <w:r>
        <w:t xml:space="preserve"> </w:t>
      </w:r>
      <w:r>
        <w:rPr>
          <w:i/>
          <w:iCs/>
        </w:rPr>
        <w:t xml:space="preserve">215</w:t>
      </w:r>
      <w:r>
        <w:t xml:space="preserve">(1), 156–160.</w:t>
      </w:r>
      <w:r>
        <w:t xml:space="preserve"> </w:t>
      </w:r>
      <w:hyperlink r:id="rId117">
        <w:r>
          <w:rPr>
            <w:rStyle w:val="Hyperlink"/>
          </w:rPr>
          <w:t xml:space="preserve">https://doi.org/10.1016/j.jneumeth.2013.02.009</w:t>
        </w:r>
      </w:hyperlink>
    </w:p>
    <w:bookmarkEnd w:id="118"/>
    <w:bookmarkStart w:id="120" w:name="ref-seron1992a"/>
    <w:p>
      <w:pPr>
        <w:pStyle w:val="Bibliography"/>
      </w:pPr>
      <w:r>
        <w:t xml:space="preserve">Seron, X., Pesenti, M., Noël, M.-P., Deloche, G., &amp; Cornet, J.-A. (1992). Images of numbers, or</w:t>
      </w:r>
      <w:r>
        <w:t xml:space="preserve"> </w:t>
      </w:r>
      <w:r>
        <w:t xml:space="preserve">“</w:t>
      </w:r>
      <w:r>
        <w:t xml:space="preserve">when 98 is upper left and 6 sky blue</w:t>
      </w:r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Cognition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(1), 159–196.</w:t>
      </w:r>
      <w:r>
        <w:t xml:space="preserve"> </w:t>
      </w:r>
      <w:hyperlink r:id="rId119">
        <w:r>
          <w:rPr>
            <w:rStyle w:val="Hyperlink"/>
          </w:rPr>
          <w:t xml:space="preserve">https://doi.org/10.1016/0010-0277(92)90053-K</w:t>
        </w:r>
      </w:hyperlink>
    </w:p>
    <w:bookmarkEnd w:id="120"/>
    <w:bookmarkStart w:id="122" w:name="ref-simner2012"/>
    <w:p>
      <w:pPr>
        <w:pStyle w:val="Bibliography"/>
      </w:pPr>
      <w:r>
        <w:t xml:space="preserve">Simner, J. (2012). Defining synaesthesia.</w:t>
      </w:r>
      <w:r>
        <w:t xml:space="preserve"> </w:t>
      </w:r>
      <w:r>
        <w:rPr>
          <w:i/>
          <w:iCs/>
        </w:rPr>
        <w:t xml:space="preserve">British Journal of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103</w:t>
      </w:r>
      <w:r>
        <w:t xml:space="preserve">(1), 1–15.</w:t>
      </w:r>
      <w:r>
        <w:t xml:space="preserve"> </w:t>
      </w:r>
      <w:hyperlink r:id="rId121">
        <w:r>
          <w:rPr>
            <w:rStyle w:val="Hyperlink"/>
          </w:rPr>
          <w:t xml:space="preserve">https://doi.org/10.1348/000712610X528305</w:t>
        </w:r>
      </w:hyperlink>
    </w:p>
    <w:bookmarkEnd w:id="122"/>
    <w:bookmarkStart w:id="124" w:name="ref-vanpetersen2020"/>
    <w:p>
      <w:pPr>
        <w:pStyle w:val="Bibliography"/>
      </w:pPr>
      <w:r>
        <w:t xml:space="preserve">Van Petersen, E., Altgassen, M., Van Lier, R., &amp; Van Leeuwen, T. M. (2020b). Enhanced spatial navigation skills in sequence-space synesthetes.</w:t>
      </w:r>
      <w:r>
        <w:t xml:space="preserve"> </w:t>
      </w:r>
      <w:r>
        <w:rPr>
          <w:i/>
          <w:iCs/>
        </w:rPr>
        <w:t xml:space="preserve">Cortex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, 49–63.</w:t>
      </w:r>
      <w:r>
        <w:t xml:space="preserve"> </w:t>
      </w:r>
      <w:hyperlink r:id="rId123">
        <w:r>
          <w:rPr>
            <w:rStyle w:val="Hyperlink"/>
          </w:rPr>
          <w:t xml:space="preserve">https://doi.org/10.1016/j.cortex.2020.04.034</w:t>
        </w:r>
      </w:hyperlink>
    </w:p>
    <w:bookmarkEnd w:id="124"/>
    <w:bookmarkStart w:id="125" w:name="ref-vanpetersen2020a"/>
    <w:p>
      <w:pPr>
        <w:pStyle w:val="Bibliography"/>
      </w:pPr>
      <w:r>
        <w:t xml:space="preserve">Van Petersen, E., Altgassen, M., Van Lier, R., &amp; Van Leeuwen, T. M. (2020a). Enhanced spatial navigation skills in sequence-space synesthetes.</w:t>
      </w:r>
      <w:r>
        <w:t xml:space="preserve"> </w:t>
      </w:r>
      <w:r>
        <w:rPr>
          <w:i/>
          <w:iCs/>
        </w:rPr>
        <w:t xml:space="preserve">Cortex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, 49–63.</w:t>
      </w:r>
      <w:r>
        <w:t xml:space="preserve"> </w:t>
      </w:r>
      <w:hyperlink r:id="rId123">
        <w:r>
          <w:rPr>
            <w:rStyle w:val="Hyperlink"/>
          </w:rPr>
          <w:t xml:space="preserve">https://doi.org/10.1016/j.cortex.2020.04.034</w:t>
        </w:r>
      </w:hyperlink>
    </w:p>
    <w:bookmarkEnd w:id="125"/>
    <w:bookmarkStart w:id="127" w:name="ref-ward"/>
    <w:p>
      <w:pPr>
        <w:pStyle w:val="Bibliography"/>
      </w:pPr>
      <w:r>
        <w:t xml:space="preserve">Ward, J. (n.d.).</w:t>
      </w:r>
      <w:r>
        <w:t xml:space="preserve"> </w:t>
      </w:r>
      <w:r>
        <w:rPr>
          <w:i/>
          <w:iCs/>
        </w:rPr>
        <w:t xml:space="preserve">Optimizing a Measure of Consistency for Sequence-Space Synaesthesia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https://doi.org/10.31234/osf.io/5cnr7</w:t>
        </w:r>
      </w:hyperlink>
    </w:p>
    <w:bookmarkEnd w:id="127"/>
    <w:bookmarkEnd w:id="128"/>
    <w:bookmarkEnd w:id="12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Of which we replicate the original results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 </w:t>
      </w:r>
      <w:r>
        <w:t xml:space="preserve">in a</w:t>
      </w:r>
      <w:r>
        <w:t xml:space="preserve"> </w:t>
      </w:r>
      <w:r>
        <w:t xml:space="preserve">separate document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45" Target="media/rId45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94" Target="media/rId9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1" Target="media/rId21.svg" /><Relationship Type="http://schemas.openxmlformats.org/officeDocument/2006/relationships/hyperlink" Id="rId119" Target="https://doi.org/10.1016/0010-0277(92)90053-K" TargetMode="External" /><Relationship Type="http://schemas.openxmlformats.org/officeDocument/2006/relationships/hyperlink" Id="rId99" Target="https://doi.org/10.1016/j.concog.2010.01.003" TargetMode="External" /><Relationship Type="http://schemas.openxmlformats.org/officeDocument/2006/relationships/hyperlink" Id="rId111" Target="https://doi.org/10.1016/j.concog.2021.103192" TargetMode="External" /><Relationship Type="http://schemas.openxmlformats.org/officeDocument/2006/relationships/hyperlink" Id="rId113" Target="https://doi.org/10.1016/j.concog.2025.103819" TargetMode="External" /><Relationship Type="http://schemas.openxmlformats.org/officeDocument/2006/relationships/hyperlink" Id="rId123" Target="https://doi.org/10.1016/j.cortex.2020.04.034" TargetMode="External" /><Relationship Type="http://schemas.openxmlformats.org/officeDocument/2006/relationships/hyperlink" Id="rId117" Target="https://doi.org/10.1016/j.jneumeth.2013.02.009" TargetMode="External" /><Relationship Type="http://schemas.openxmlformats.org/officeDocument/2006/relationships/hyperlink" Id="rId105" Target="https://doi.org/10.1038/021252a0" TargetMode="External" /><Relationship Type="http://schemas.openxmlformats.org/officeDocument/2006/relationships/hyperlink" Id="rId121" Target="https://doi.org/10.1348/000712610X528305" TargetMode="External" /><Relationship Type="http://schemas.openxmlformats.org/officeDocument/2006/relationships/hyperlink" Id="rId126" Target="https://doi.org/10.31234/osf.io/5cnr7" TargetMode="External" /><Relationship Type="http://schemas.openxmlformats.org/officeDocument/2006/relationships/hyperlink" Id="rId109" Target="https://doi.org/10.32614/RJ-2018-009" TargetMode="External" /><Relationship Type="http://schemas.openxmlformats.org/officeDocument/2006/relationships/hyperlink" Id="rId107" Target="https://doi.org/10.3389/fpsyg.2014.01171" TargetMode="External" /><Relationship Type="http://schemas.openxmlformats.org/officeDocument/2006/relationships/hyperlink" Id="rId103" Target="https://doi.org/10.3758/CABN.4.3.335" TargetMode="External" /><Relationship Type="http://schemas.openxmlformats.org/officeDocument/2006/relationships/hyperlink" Id="rId101" Target="https://doi.org/10.3758/s13423-013-0387-2" TargetMode="External" /><Relationship Type="http://schemas.openxmlformats.org/officeDocument/2006/relationships/hyperlink" Id="rId115" Target="https://doi.org/10.3758/s13428-015-0656-2" TargetMode="External" /><Relationship Type="http://schemas.openxmlformats.org/officeDocument/2006/relationships/hyperlink" Id="rId25" Target="https://orcid.org/0000-0000-0000-0000" TargetMode="External" /><Relationship Type="http://schemas.openxmlformats.org/officeDocument/2006/relationships/hyperlink" Id="rId77" Target="https://osf.io/6h8dx" TargetMode="External" /><Relationship Type="http://schemas.openxmlformats.org/officeDocument/2006/relationships/hyperlink" Id="rId40" Target="https://osf.io/6hq94/files/osfstorage" TargetMode="External" /><Relationship Type="http://schemas.openxmlformats.org/officeDocument/2006/relationships/hyperlink" Id="rId37" Target="https://osf.io/9efjb/" TargetMode="External" /><Relationship Type="http://schemas.openxmlformats.org/officeDocument/2006/relationships/hyperlink" Id="rId75" Target="https://osf.io/pjb6e/?view_only=d467ebf4c1f94076ae4ac61298255065" TargetMode="External" /><Relationship Type="http://schemas.openxmlformats.org/officeDocument/2006/relationships/hyperlink" Id="rId52" Target="https://postgis.net/docs/ST_IsValid.html" TargetMode="External" /><Relationship Type="http://schemas.openxmlformats.org/officeDocument/2006/relationships/hyperlink" Id="rId53" Target="https://postgis.net/docs/using_postgis_dbmanagement.html#OGC_Validity" TargetMode="External" /><Relationship Type="http://schemas.openxmlformats.org/officeDocument/2006/relationships/hyperlink" Id="rId32" Target="mailto:remy.lachelin@fernuni.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doi.org/10.1016/0010-0277(92)90053-K" TargetMode="External" /><Relationship Type="http://schemas.openxmlformats.org/officeDocument/2006/relationships/hyperlink" Id="rId99" Target="https://doi.org/10.1016/j.concog.2010.01.003" TargetMode="External" /><Relationship Type="http://schemas.openxmlformats.org/officeDocument/2006/relationships/hyperlink" Id="rId111" Target="https://doi.org/10.1016/j.concog.2021.103192" TargetMode="External" /><Relationship Type="http://schemas.openxmlformats.org/officeDocument/2006/relationships/hyperlink" Id="rId113" Target="https://doi.org/10.1016/j.concog.2025.103819" TargetMode="External" /><Relationship Type="http://schemas.openxmlformats.org/officeDocument/2006/relationships/hyperlink" Id="rId123" Target="https://doi.org/10.1016/j.cortex.2020.04.034" TargetMode="External" /><Relationship Type="http://schemas.openxmlformats.org/officeDocument/2006/relationships/hyperlink" Id="rId117" Target="https://doi.org/10.1016/j.jneumeth.2013.02.009" TargetMode="External" /><Relationship Type="http://schemas.openxmlformats.org/officeDocument/2006/relationships/hyperlink" Id="rId105" Target="https://doi.org/10.1038/021252a0" TargetMode="External" /><Relationship Type="http://schemas.openxmlformats.org/officeDocument/2006/relationships/hyperlink" Id="rId121" Target="https://doi.org/10.1348/000712610X528305" TargetMode="External" /><Relationship Type="http://schemas.openxmlformats.org/officeDocument/2006/relationships/hyperlink" Id="rId126" Target="https://doi.org/10.31234/osf.io/5cnr7" TargetMode="External" /><Relationship Type="http://schemas.openxmlformats.org/officeDocument/2006/relationships/hyperlink" Id="rId109" Target="https://doi.org/10.32614/RJ-2018-009" TargetMode="External" /><Relationship Type="http://schemas.openxmlformats.org/officeDocument/2006/relationships/hyperlink" Id="rId107" Target="https://doi.org/10.3389/fpsyg.2014.01171" TargetMode="External" /><Relationship Type="http://schemas.openxmlformats.org/officeDocument/2006/relationships/hyperlink" Id="rId103" Target="https://doi.org/10.3758/CABN.4.3.335" TargetMode="External" /><Relationship Type="http://schemas.openxmlformats.org/officeDocument/2006/relationships/hyperlink" Id="rId101" Target="https://doi.org/10.3758/s13423-013-0387-2" TargetMode="External" /><Relationship Type="http://schemas.openxmlformats.org/officeDocument/2006/relationships/hyperlink" Id="rId115" Target="https://doi.org/10.3758/s13428-015-0656-2" TargetMode="External" /><Relationship Type="http://schemas.openxmlformats.org/officeDocument/2006/relationships/hyperlink" Id="rId25" Target="https://orcid.org/0000-0000-0000-0000" TargetMode="External" /><Relationship Type="http://schemas.openxmlformats.org/officeDocument/2006/relationships/hyperlink" Id="rId77" Target="https://osf.io/6h8dx" TargetMode="External" /><Relationship Type="http://schemas.openxmlformats.org/officeDocument/2006/relationships/hyperlink" Id="rId40" Target="https://osf.io/6hq94/files/osfstorage" TargetMode="External" /><Relationship Type="http://schemas.openxmlformats.org/officeDocument/2006/relationships/hyperlink" Id="rId37" Target="https://osf.io/9efjb/" TargetMode="External" /><Relationship Type="http://schemas.openxmlformats.org/officeDocument/2006/relationships/hyperlink" Id="rId75" Target="https://osf.io/pjb6e/?view_only=d467ebf4c1f94076ae4ac61298255065" TargetMode="External" /><Relationship Type="http://schemas.openxmlformats.org/officeDocument/2006/relationships/hyperlink" Id="rId52" Target="https://postgis.net/docs/ST_IsValid.html" TargetMode="External" /><Relationship Type="http://schemas.openxmlformats.org/officeDocument/2006/relationships/hyperlink" Id="rId53" Target="https://postgis.net/docs/using_postgis_dbmanagement.html#OGC_Validity" TargetMode="External" /><Relationship Type="http://schemas.openxmlformats.org/officeDocument/2006/relationships/hyperlink" Id="rId32" Target="mailto:remy.lachelin@fernuni.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MY PAPER’S TITLE</dc:description>
  <cp:keywords>Space sequence synesthesia, consistency</cp:keywords>
  <dcterms:created xsi:type="dcterms:W3CDTF">2025-12-05T10:25:16Z</dcterms:created>
  <dcterms:modified xsi:type="dcterms:W3CDTF">2025-12-05T10:25:16Z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is my abstract.</vt:lpwstr>
  </property>
  <property fmtid="{D5CDD505-2E9C-101B-9397-08002B2CF9AE}" pid="5" name="apaauthor">
    <vt:lpwstr/>
  </property>
  <property fmtid="{D5CDD505-2E9C-101B-9397-08002B2CF9AE}" pid="6" name="apatitle">
    <vt:lpwstr>Pre-registered report: Space Sequence Synesthesia Diagnostic using form mapping</vt:lpwstr>
  </property>
  <property fmtid="{D5CDD505-2E9C-101B-9397-08002B2CF9AE}" pid="7" name="apatitledisplay">
    <vt:lpwstr>Pre-registered report: Space Sequence Synesthesia Diagnostic using form mapping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editor">
    <vt:lpwstr/>
  </property>
  <property fmtid="{D5CDD505-2E9C-101B-9397-08002B2CF9AE}" pid="18" name="execute">
    <vt:lpwstr/>
  </property>
  <property fmtid="{D5CDD505-2E9C-101B-9397-08002B2CF9AE}" pid="19" name="fig-cap-location">
    <vt:lpwstr>top</vt:lpwstr>
  </property>
  <property fmtid="{D5CDD505-2E9C-101B-9397-08002B2CF9AE}" pid="20" name="header-includes">
    <vt:lpwstr/>
  </property>
  <property fmtid="{D5CDD505-2E9C-101B-9397-08002B2CF9AE}" pid="21" name="include-after">
    <vt:lpwstr/>
  </property>
  <property fmtid="{D5CDD505-2E9C-101B-9397-08002B2CF9AE}" pid="22" name="include-before">
    <vt:lpwstr/>
  </property>
  <property fmtid="{D5CDD505-2E9C-101B-9397-08002B2CF9AE}" pid="23" name="knitr">
    <vt:lpwstr/>
  </property>
  <property fmtid="{D5CDD505-2E9C-101B-9397-08002B2CF9AE}" pid="24" name="labels">
    <vt:lpwstr/>
  </property>
  <property fmtid="{D5CDD505-2E9C-101B-9397-08002B2CF9AE}" pid="25" name="language">
    <vt:lpwstr/>
  </property>
  <property fmtid="{D5CDD505-2E9C-101B-9397-08002B2CF9AE}" pid="26" name="link-citations">
    <vt:lpwstr>True</vt:lpwstr>
  </property>
  <property fmtid="{D5CDD505-2E9C-101B-9397-08002B2CF9AE}" pid="27" name="no-ampersand-parenthetical">
    <vt:lpwstr>False</vt:lpwstr>
  </property>
  <property fmtid="{D5CDD505-2E9C-101B-9397-08002B2CF9AE}" pid="28" name="number-depth">
    <vt:lpwstr>3</vt:lpwstr>
  </property>
  <property fmtid="{D5CDD505-2E9C-101B-9397-08002B2CF9AE}" pid="29" name="numbersections">
    <vt:lpwstr>False</vt:lpwstr>
  </property>
  <property fmtid="{D5CDD505-2E9C-101B-9397-08002B2CF9AE}" pid="30" name="oneaffiliation">
    <vt:lpwstr>True</vt:lpwstr>
  </property>
  <property fmtid="{D5CDD505-2E9C-101B-9397-08002B2CF9AE}" pid="31" name="oneauthor">
    <vt:lpwstr>False</vt:lpwstr>
  </property>
  <property fmtid="{D5CDD505-2E9C-101B-9397-08002B2CF9AE}" pid="32" name="references">
    <vt:lpwstr/>
  </property>
  <property fmtid="{D5CDD505-2E9C-101B-9397-08002B2CF9AE}" pid="33" name="revealjs-plugins">
    <vt:lpwstr/>
  </property>
  <property fmtid="{D5CDD505-2E9C-101B-9397-08002B2CF9AE}" pid="34" name="shorttitle">
    <vt:lpwstr>MY PAPER’S TITLE</vt:lpwstr>
  </property>
  <property fmtid="{D5CDD505-2E9C-101B-9397-08002B2CF9AE}" pid="35" name="suppress-abstract">
    <vt:lpwstr>False</vt:lpwstr>
  </property>
  <property fmtid="{D5CDD505-2E9C-101B-9397-08002B2CF9AE}" pid="36" name="suppress-affiliation">
    <vt:lpwstr>False</vt:lpwstr>
  </property>
  <property fmtid="{D5CDD505-2E9C-101B-9397-08002B2CF9AE}" pid="37" name="suppress-author">
    <vt:lpwstr>False</vt:lpwstr>
  </property>
  <property fmtid="{D5CDD505-2E9C-101B-9397-08002B2CF9AE}" pid="38" name="suppress-author-note">
    <vt:lpwstr>False</vt:lpwstr>
  </property>
  <property fmtid="{D5CDD505-2E9C-101B-9397-08002B2CF9AE}" pid="39" name="suppress-corresponding-address">
    <vt:lpwstr>False</vt:lpwstr>
  </property>
  <property fmtid="{D5CDD505-2E9C-101B-9397-08002B2CF9AE}" pid="40" name="suppress-corresponding-affiliation-name">
    <vt:lpwstr>False</vt:lpwstr>
  </property>
  <property fmtid="{D5CDD505-2E9C-101B-9397-08002B2CF9AE}" pid="41" name="suppress-corresponding-city">
    <vt:lpwstr>False</vt:lpwstr>
  </property>
  <property fmtid="{D5CDD505-2E9C-101B-9397-08002B2CF9AE}" pid="42" name="suppress-corresponding-department">
    <vt:lpwstr>False</vt:lpwstr>
  </property>
  <property fmtid="{D5CDD505-2E9C-101B-9397-08002B2CF9AE}" pid="43" name="suppress-corresponding-email">
    <vt:lpwstr>False</vt:lpwstr>
  </property>
  <property fmtid="{D5CDD505-2E9C-101B-9397-08002B2CF9AE}" pid="44" name="suppress-corresponding-group">
    <vt:lpwstr>False</vt:lpwstr>
  </property>
  <property fmtid="{D5CDD505-2E9C-101B-9397-08002B2CF9AE}" pid="45" name="suppress-corresponding-paragraph">
    <vt:lpwstr>False</vt:lpwstr>
  </property>
  <property fmtid="{D5CDD505-2E9C-101B-9397-08002B2CF9AE}" pid="46" name="suppress-corresponding-postal-code">
    <vt:lpwstr>False</vt:lpwstr>
  </property>
  <property fmtid="{D5CDD505-2E9C-101B-9397-08002B2CF9AE}" pid="47" name="suppress-corresponding-region">
    <vt:lpwstr>False</vt:lpwstr>
  </property>
  <property fmtid="{D5CDD505-2E9C-101B-9397-08002B2CF9AE}" pid="48" name="suppress-credit-statement">
    <vt:lpwstr>False</vt:lpwstr>
  </property>
  <property fmtid="{D5CDD505-2E9C-101B-9397-08002B2CF9AE}" pid="49" name="suppress-disclosures-paragraph">
    <vt:lpwstr>False</vt:lpwstr>
  </property>
  <property fmtid="{D5CDD505-2E9C-101B-9397-08002B2CF9AE}" pid="50" name="suppress-impact-statement">
    <vt:lpwstr>False</vt:lpwstr>
  </property>
  <property fmtid="{D5CDD505-2E9C-101B-9397-08002B2CF9AE}" pid="51" name="suppress-keywords">
    <vt:lpwstr>False</vt:lpwstr>
  </property>
  <property fmtid="{D5CDD505-2E9C-101B-9397-08002B2CF9AE}" pid="52" name="suppress-orcid">
    <vt:lpwstr>False</vt:lpwstr>
  </property>
  <property fmtid="{D5CDD505-2E9C-101B-9397-08002B2CF9AE}" pid="53" name="suppress-short-title">
    <vt:lpwstr>False</vt:lpwstr>
  </property>
  <property fmtid="{D5CDD505-2E9C-101B-9397-08002B2CF9AE}" pid="54" name="suppress-status-change-paragraph">
    <vt:lpwstr>False</vt:lpwstr>
  </property>
  <property fmtid="{D5CDD505-2E9C-101B-9397-08002B2CF9AE}" pid="55" name="suppress-title">
    <vt:lpwstr>False</vt:lpwstr>
  </property>
  <property fmtid="{D5CDD505-2E9C-101B-9397-08002B2CF9AE}" pid="56" name="suppress-title-introduction">
    <vt:lpwstr>False</vt:lpwstr>
  </property>
  <property fmtid="{D5CDD505-2E9C-101B-9397-08002B2CF9AE}" pid="57" name="suppress-title-page">
    <vt:lpwstr>False</vt:lpwstr>
  </property>
  <property fmtid="{D5CDD505-2E9C-101B-9397-08002B2CF9AE}" pid="58" name="suppress-title-page-number">
    <vt:lpwstr>False</vt:lpwstr>
  </property>
  <property fmtid="{D5CDD505-2E9C-101B-9397-08002B2CF9AE}" pid="59" name="tbl-cap-location">
    <vt:lpwstr>top</vt:lpwstr>
  </property>
  <property fmtid="{D5CDD505-2E9C-101B-9397-08002B2CF9AE}" pid="60" name="toc-title">
    <vt:lpwstr>Table of contents</vt:lpwstr>
  </property>
  <property fmtid="{D5CDD505-2E9C-101B-9397-08002B2CF9AE}" pid="61" name="wordn">
    <vt:lpwstr>3224</vt:lpwstr>
  </property>
  <property fmtid="{D5CDD505-2E9C-101B-9397-08002B2CF9AE}" pid="62" name="zerocitations">
    <vt:lpwstr>False</vt:lpwstr>
  </property>
</Properties>
</file>