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ContentsHeading"/>
            <w:spacing w:before="240" w:after="120"/>
            <w:rPr/>
          </w:pPr>
          <w:r>
            <w:rPr/>
            <w:t>Оглавление</w:t>
          </w:r>
        </w:p>
        <w:p>
          <w:pPr>
            <w:pStyle w:val="Contents1"/>
            <w:rPr/>
          </w:pPr>
          <w:r>
            <w:fldChar w:fldCharType="begin"/>
          </w:r>
          <w:r>
            <w:rPr>
              <w:rStyle w:val="IndexLink"/>
            </w:rPr>
            <w:instrText xml:space="preserve"> TOC \f \o "1-9" \h</w:instrText>
          </w:r>
          <w:r>
            <w:rPr>
              <w:rStyle w:val="IndexLink"/>
            </w:rPr>
            <w:fldChar w:fldCharType="separate"/>
          </w:r>
          <w:hyperlink w:anchor="__RefHeading___Toc110_1162264278">
            <w:r>
              <w:rPr>
                <w:rStyle w:val="IndexLink"/>
              </w:rPr>
              <w:t>Общая идея</w:t>
              <w:tab/>
              <w:t>1</w:t>
            </w:r>
          </w:hyperlink>
        </w:p>
        <w:p>
          <w:pPr>
            <w:pStyle w:val="Contents1"/>
            <w:rPr/>
          </w:pPr>
          <w:hyperlink w:anchor="__RefHeading___Toc112_1162264278">
            <w:r>
              <w:rPr>
                <w:rStyle w:val="IndexLink"/>
              </w:rPr>
              <w:t>Идеи нейропайплайна</w:t>
              <w:tab/>
              <w:t>1</w:t>
            </w:r>
          </w:hyperlink>
        </w:p>
        <w:p>
          <w:pPr>
            <w:pStyle w:val="Contents2"/>
            <w:rPr/>
          </w:pPr>
          <w:hyperlink w:anchor="__RefHeading___Toc114_11622642782">
            <w:r>
              <w:rPr>
                <w:rStyle w:val="IndexLink"/>
              </w:rPr>
              <w:t>Детектор</w:t>
              <w:tab/>
              <w:t>1</w:t>
            </w:r>
          </w:hyperlink>
        </w:p>
        <w:p>
          <w:pPr>
            <w:pStyle w:val="Contents2"/>
            <w:rPr/>
          </w:pPr>
          <w:hyperlink w:anchor="__RefHeading___Toc116_1162264278">
            <w:r>
              <w:rPr>
                <w:rStyle w:val="IndexLink"/>
              </w:rPr>
              <w:t>OCR</w:t>
              <w:tab/>
              <w:t>2</w:t>
            </w:r>
          </w:hyperlink>
        </w:p>
        <w:p>
          <w:pPr>
            <w:pStyle w:val="Contents2"/>
            <w:rPr/>
          </w:pPr>
          <w:hyperlink w:anchor="__RefHeading___Toc118_1162264278">
            <w:r>
              <w:rPr>
                <w:rStyle w:val="IndexLink"/>
              </w:rPr>
              <w:t>Перевод</w:t>
              <w:tab/>
              <w:t>2</w:t>
            </w:r>
          </w:hyperlink>
        </w:p>
        <w:p>
          <w:pPr>
            <w:pStyle w:val="Contents2"/>
            <w:rPr/>
          </w:pPr>
          <w:hyperlink w:anchor="__RefHeading___Toc120_1162264278">
            <w:r>
              <w:rPr>
                <w:rStyle w:val="IndexLink"/>
              </w:rPr>
              <w:t>Инпейтинг</w:t>
              <w:tab/>
              <w:t>3</w:t>
            </w:r>
          </w:hyperlink>
        </w:p>
        <w:p>
          <w:pPr>
            <w:pStyle w:val="Contents1"/>
            <w:rPr/>
          </w:pPr>
          <w:hyperlink w:anchor="__RefHeading___Toc122_1162264278">
            <w:r>
              <w:rPr>
                <w:rStyle w:val="IndexLink"/>
              </w:rPr>
              <w:t>Архитектура: поток интерфейса + фоновый воркер</w:t>
              <w:tab/>
              <w:t>3</w:t>
            </w:r>
          </w:hyperlink>
        </w:p>
        <w:p>
          <w:pPr>
            <w:pStyle w:val="Contents2"/>
            <w:rPr/>
          </w:pPr>
          <w:hyperlink w:anchor="__RefHeading___Toc124_1162264278">
            <w:r>
              <w:rPr>
                <w:rStyle w:val="IndexLink"/>
              </w:rPr>
              <w:t>Редактор и ручная правка</w:t>
              <w:tab/>
              <w:t>4</w:t>
            </w:r>
          </w:hyperlink>
        </w:p>
        <w:p>
          <w:pPr>
            <w:pStyle w:val="Contents2"/>
            <w:rPr/>
          </w:pPr>
          <w:hyperlink w:anchor="__RefHeading___Toc126_1162264278">
            <w:r>
              <w:rPr>
                <w:rStyle w:val="IndexLink"/>
              </w:rPr>
              <w:t>Рендер</w:t>
              <w:tab/>
              <w:t>4</w:t>
            </w:r>
          </w:hyperlink>
        </w:p>
        <w:p>
          <w:pPr>
            <w:pStyle w:val="Contents2"/>
            <w:rPr/>
          </w:pPr>
          <w:hyperlink w:anchor="__RefHeading___Toc128_1162264278">
            <w:r>
              <w:rPr>
                <w:rStyle w:val="IndexLink"/>
              </w:rPr>
              <w:t>Два режима запуска</w:t>
              <w:tab/>
              <w:t>4</w:t>
            </w:r>
          </w:hyperlink>
        </w:p>
        <w:p>
          <w:pPr>
            <w:pStyle w:val="Contents2"/>
            <w:rPr/>
          </w:pPr>
          <w:hyperlink w:anchor="__RefHeading___Toc130_1162264278">
            <w:r>
              <w:rPr>
                <w:rStyle w:val="IndexLink"/>
              </w:rPr>
              <w:t>Языки и интерфейс</w:t>
              <w:tab/>
              <w:t>4</w:t>
            </w:r>
          </w:hyperlink>
        </w:p>
        <w:p>
          <w:pPr>
            <w:pStyle w:val="Contents2"/>
            <w:rPr/>
          </w:pPr>
          <w:hyperlink w:anchor="__RefHeading___Toc132_1162264278">
            <w:r>
              <w:rPr>
                <w:rStyle w:val="IndexLink"/>
              </w:rPr>
              <w:t>Модели и окружение</w:t>
              <w:tab/>
              <w:t>4</w:t>
            </w:r>
          </w:hyperlink>
          <w:r>
            <w:rPr>
              <w:rStyle w:val="IndexLink"/>
            </w:rPr>
            <w:fldChar w:fldCharType="end"/>
          </w:r>
        </w:p>
      </w:sdtContent>
    </w:sdt>
    <w:p>
      <w:pPr>
        <w:pStyle w:val="Heading1"/>
        <w:numPr>
          <w:ilvl w:val="0"/>
          <w:numId w:val="1"/>
        </w:numPr>
        <w:bidi w:val="0"/>
        <w:jc w:val="left"/>
        <w:rPr/>
      </w:pPr>
      <w:r>
        <w:rPr/>
      </w:r>
    </w:p>
    <w:p>
      <w:pPr>
        <w:pStyle w:val="Heading1"/>
        <w:numPr>
          <w:ilvl w:val="0"/>
          <w:numId w:val="1"/>
        </w:numPr>
        <w:bidi w:val="0"/>
        <w:jc w:val="left"/>
        <w:rPr/>
      </w:pPr>
      <w:bookmarkStart w:id="0" w:name="__RefHeading___Toc110_1162264278"/>
      <w:bookmarkEnd w:id="0"/>
      <w:r>
        <w:rPr/>
        <w:t>Общая идея</w:t>
      </w:r>
    </w:p>
    <w:p>
      <w:pPr>
        <w:pStyle w:val="Normal"/>
        <w:bidi w:val="0"/>
        <w:jc w:val="both"/>
        <w:rPr/>
      </w:pPr>
      <w:r>
        <w:rPr/>
        <w:t xml:space="preserve">Приложение поддерживает формат папки со страницами в png/jpg и экспортирует те же страницы, но с переведённым текстом: оригинальный текст стирается, фон под ним восстанавливается, а перевод вписывается прямо в пузыри выбранным шрифтом, в комплекте шрифт специально для комиксов. </w:t>
      </w:r>
    </w:p>
    <w:p>
      <w:pPr>
        <w:pStyle w:val="Normal"/>
        <w:bidi w:val="0"/>
        <w:jc w:val="both"/>
        <w:rPr/>
      </w:pPr>
      <w:r>
        <w:rPr/>
        <w:t xml:space="preserve">Всё работает локально на CPU или GPU с автоматическим определением доступности. Для CPU производительность </w:t>
      </w:r>
      <w:r>
        <w:rPr>
          <w:lang w:val="en-US" w:eastAsia="zh-CN" w:bidi="hi-IN"/>
        </w:rPr>
        <w:t>ограничена</w:t>
      </w:r>
      <w:r>
        <w:rPr/>
        <w:t>: можно работать в ручном режиме, страница переводится как правило менее чем за минуту при открытии новой страницы. За пределами MVP, можно так же реализовать предварительный перевод следующей страницы. Но быстрее и удобнее, а так же для пакетной обработки использовать GPU с не менее чем 4GB VRAM.</w:t>
      </w:r>
    </w:p>
    <w:p>
      <w:pPr>
        <w:pStyle w:val="Normal"/>
        <w:bidi w:val="0"/>
        <w:jc w:val="both"/>
        <w:rPr/>
      </w:pPr>
      <w:r>
        <w:rPr/>
        <w:t>Поддержка epub, pdf и других форматов может быть добавлена с помощью соответствующих библиотек. Но посколько по условию требуется MVP, обычно такие детали выходят за рамки MVP. Поэтому MVP работает пока только с папками изображений.</w:t>
      </w:r>
    </w:p>
    <w:p>
      <w:pPr>
        <w:pStyle w:val="Normal"/>
        <w:bidi w:val="0"/>
        <w:jc w:val="both"/>
        <w:rPr/>
      </w:pPr>
      <w:r>
        <w:rPr/>
        <w:t>Пакетная обработка присутствует: можно как экспортировать автоматический перевод целой папки, так и переводить автоматически с помощью консольной команды.</w:t>
      </w:r>
    </w:p>
    <w:p>
      <w:pPr>
        <w:pStyle w:val="Normal"/>
        <w:bidi w:val="0"/>
        <w:jc w:val="both"/>
        <w:rPr/>
      </w:pPr>
      <w:r>
        <w:rPr/>
      </w:r>
    </w:p>
    <w:p>
      <w:pPr>
        <w:pStyle w:val="Heading1"/>
        <w:numPr>
          <w:ilvl w:val="0"/>
          <w:numId w:val="1"/>
        </w:numPr>
        <w:bidi w:val="0"/>
        <w:jc w:val="left"/>
        <w:rPr/>
      </w:pPr>
      <w:bookmarkStart w:id="1" w:name="__RefHeading___Toc112_1162264278"/>
      <w:bookmarkEnd w:id="1"/>
      <w:r>
        <w:rPr/>
        <w:t>Идеи нейропайплайна</w:t>
      </w:r>
    </w:p>
    <w:p>
      <w:pPr>
        <w:pStyle w:val="Heading2"/>
        <w:numPr>
          <w:ilvl w:val="1"/>
          <w:numId w:val="1"/>
        </w:numPr>
        <w:bidi w:val="0"/>
        <w:jc w:val="left"/>
        <w:rPr/>
      </w:pPr>
      <w:bookmarkStart w:id="2" w:name="__RefHeading___Toc114_11622642782"/>
      <w:bookmarkEnd w:id="2"/>
      <w:r>
        <w:rPr/>
        <w:t>Детектор</w:t>
      </w:r>
    </w:p>
    <w:p>
      <w:pPr>
        <w:pStyle w:val="TextBody"/>
        <w:bidi w:val="0"/>
        <w:jc w:val="both"/>
        <w:rPr/>
      </w:pPr>
      <w:r>
        <w:rPr/>
        <w:t xml:space="preserve">В качестве архитектуры выбрана RF-DETR. Изначально рассматривалась YOLO, но пришел к выводу, что для такой задачи намного лучше подходит трансформер, так как он способен лучше детектировать аморфные объекты, не имеющие четкой формы и границ, в отличие от традиционных сверточных </w:t>
      </w:r>
      <w:r>
        <w:rPr>
          <w:rFonts w:eastAsia="Noto Serif CJK SC" w:cs="Lohit Devanagari"/>
          <w:color w:val="auto"/>
          <w:kern w:val="2"/>
          <w:sz w:val="24"/>
          <w:szCs w:val="24"/>
          <w:lang w:val="en-US" w:eastAsia="zh-CN" w:bidi="hi-IN"/>
        </w:rPr>
        <w:t>детекторов</w:t>
      </w:r>
      <w:r>
        <w:rPr/>
        <w:t>. У объекта “текст” нет замкнутого контура и нет сплошного заполнения. Это набор разрозненных штрихов с фоном между ними, и граница задаётся правилом группировки, а не перепадом яркости. У YOLO признак объекта снимается локально, из точки, а в геометрическом центре текстового блока часто пустой фон между строк. Отвечать за объект приходится якорю или центру со слабым локальным сигналом, и назначение таргетов на межстрочных промежутках неоднозначно. У DETR query агрегирует признаки со всей карты, поэтому сборка удалённых штрихов в один инстанс — для него штатная операция. Так же, NMS с вложенностью работает плохо. Для объектов разных классов проблемы с NMS нет, поэтому для задачи текст-в-пузыре этот аргумент возможно не актуален. Но отсутствие NMS в целом полезное свойство, потому что в редких экземпляров наложение объектов одного класса можно допустить.</w:t>
      </w:r>
    </w:p>
    <w:p>
      <w:pPr>
        <w:pStyle w:val="TextBody"/>
        <w:bidi w:val="0"/>
        <w:jc w:val="both"/>
        <w:rPr/>
      </w:pPr>
      <w:r>
        <w:rPr/>
        <w:t>Yolo26 не требует NMS, но другие аргументы остаются в силе.</w:t>
      </w:r>
    </w:p>
    <w:p>
      <w:pPr>
        <w:pStyle w:val="TextBody"/>
        <w:bidi w:val="0"/>
        <w:jc w:val="both"/>
        <w:rPr/>
      </w:pPr>
      <w:r>
        <w:rPr/>
        <w:t>Суммирая, аргументы за DETR-семейство: отсутствие NMS, лучший глобальный контекст на плотных страницах, стабильность на объектах сильно разного масштаба (мелкая реплика и полосный SFX).</w:t>
      </w:r>
    </w:p>
    <w:p>
      <w:pPr>
        <w:pStyle w:val="TextBody"/>
        <w:bidi w:val="0"/>
        <w:jc w:val="both"/>
        <w:rPr/>
      </w:pPr>
      <w:r>
        <w:rPr/>
        <w:t xml:space="preserve">Модель обучена на два класса. Класс текст и класс пузырька. Я не стал разделять сам текст на классы, потому что по опыту детектору легче объединять похожие объекты (набор букв) в один класс. Детектор способен учитывать </w:t>
      </w:r>
      <w:r>
        <w:rPr>
          <w:b/>
          <w:bCs/>
        </w:rPr>
        <w:t>визуальный контекст</w:t>
      </w:r>
      <w:r>
        <w:rPr/>
        <w:t xml:space="preserve"> и видит картинку за пределами объекта, но не способен учитывать </w:t>
      </w:r>
      <w:r>
        <w:rPr>
          <w:b/>
          <w:bCs/>
        </w:rPr>
        <w:t>смысловой контекст</w:t>
      </w:r>
      <w:r>
        <w:rPr/>
        <w:t>. Поэтому разделения текста на классы детектором может быть неточным и порождать дополнительные проблемы.</w:t>
      </w:r>
    </w:p>
    <w:p>
      <w:pPr>
        <w:pStyle w:val="Heading2"/>
        <w:numPr>
          <w:ilvl w:val="1"/>
          <w:numId w:val="1"/>
        </w:numPr>
        <w:bidi w:val="0"/>
        <w:jc w:val="left"/>
        <w:rPr/>
      </w:pPr>
      <w:bookmarkStart w:id="3" w:name="__RefHeading___Toc116_1162264278"/>
      <w:bookmarkEnd w:id="3"/>
      <w:r>
        <w:rPr/>
        <w:t>OCR</w:t>
      </w:r>
    </w:p>
    <w:p>
      <w:pPr>
        <w:pStyle w:val="TextBody"/>
        <w:bidi w:val="0"/>
        <w:jc w:val="both"/>
        <w:rPr/>
      </w:pPr>
      <w:r>
        <w:rPr/>
        <w:t>Для распознавания используются модели EasyOcr или MangaOcr в зависимости языка. Оговорюсь, что в манге часто используют наклон и перпективу надписей для придания 3D-эффекта тексту. Для OCR хорошо бы восстановить пропорции, перспективу текста и каким-то образом удалить фон. Это достаточно сложная задача, в рамках MVP и бейзлайна она обычно не делается. Решая такую задачу, нужно либо определяться контрольные точки блока текста, либо использовать полигональную детекцию / сегментацию текста. Далее нужно вычислять перспективу и аффинным преобразованием выравнивать текст. Удалить фон можно опять же или по сегментированному тексту, или с помощью классических фильтров с threshold по контрасту.</w:t>
      </w:r>
    </w:p>
    <w:p>
      <w:pPr>
        <w:pStyle w:val="Heading2"/>
        <w:numPr>
          <w:ilvl w:val="1"/>
          <w:numId w:val="1"/>
        </w:numPr>
        <w:bidi w:val="0"/>
        <w:jc w:val="left"/>
        <w:rPr/>
      </w:pPr>
      <w:bookmarkStart w:id="4" w:name="__RefHeading___Toc118_1162264278"/>
      <w:bookmarkEnd w:id="4"/>
      <w:r>
        <w:rPr/>
        <w:t>Перевод</w:t>
      </w:r>
    </w:p>
    <w:p>
      <w:pPr>
        <w:pStyle w:val="TextBody"/>
        <w:bidi w:val="0"/>
        <w:jc w:val="both"/>
        <w:rPr/>
      </w:pPr>
      <w:r>
        <w:rPr/>
        <w:t>Тип текста легко выводится через проверку вложенности боксов. Так определяется, является ли фрагмент текстом пузырька или SFX, иным текстом. От этого зависит обработка контекста: Тексты из пузырьков отправляются в перевод последовательным списком абзацев, чтобы модель лучше улавливала контекст. Тексты вне пузырьков прицепляются к этому списку в конце, чтобы разрывать контекст пузырьков, и все равно тем не менее использовать контекст для их перевода.</w:t>
      </w:r>
    </w:p>
    <w:p>
      <w:pPr>
        <w:pStyle w:val="TextBody"/>
        <w:bidi w:val="0"/>
        <w:jc w:val="both"/>
        <w:rPr/>
      </w:pPr>
      <w:r>
        <w:rPr/>
        <w:t>Для перевода используется модель HY-MT1.5-1.8B Q4. Это легковесная модель, она позволяет использовать CPU или бюджетную видеокарту персонального компьютера. Инструкциям такая модель следовать умеет слабее, поэтому использовались числовые маркеры как наиболее предсказуемый способ.</w:t>
      </w:r>
    </w:p>
    <w:p>
      <w:pPr>
        <w:pStyle w:val="Normal"/>
        <w:bidi w:val="0"/>
        <w:jc w:val="both"/>
        <w:rPr/>
      </w:pPr>
      <w:r>
        <w:rPr/>
        <w:t>Если разбор все же не удался — автоматический откат на пофрагментный перевод. Одиночный фрагмент сразу идёт в обычный перевод, минуя батч.</w:t>
      </w:r>
    </w:p>
    <w:p>
      <w:pPr>
        <w:pStyle w:val="Normal"/>
        <w:bidi w:val="0"/>
        <w:jc w:val="left"/>
        <w:rPr/>
      </w:pPr>
      <w:r>
        <w:rPr/>
      </w:r>
    </w:p>
    <w:p>
      <w:pPr>
        <w:pStyle w:val="TextBody"/>
        <w:bidi w:val="0"/>
        <w:jc w:val="both"/>
        <w:rPr/>
      </w:pPr>
      <w:r>
        <w:rPr/>
        <w:t>Идти по пути использования тяжелой LLM как qwen-3.6 я не стал и отдал предпочтение специализированной нейросети для перевода. Иначе это резко повышает системные требования, но качественно все равно может проигрывать мощным агентам как Fable, Opus, ChatGPT. Лучше для такой задачи подключить сразу их через API, потому что затраты токенов будут скромные. Им так же можно скармливать и картинку для большего понимания контекста, так как они мультимодальные. И давать заодно распознанный текст для точности и снижения разрешения отправляемой  картинки. Но это будет потреблять больше токенов.</w:t>
      </w:r>
    </w:p>
    <w:p>
      <w:pPr>
        <w:pStyle w:val="Heading2"/>
        <w:numPr>
          <w:ilvl w:val="1"/>
          <w:numId w:val="1"/>
        </w:numPr>
        <w:bidi w:val="0"/>
        <w:jc w:val="left"/>
        <w:rPr/>
      </w:pPr>
      <w:bookmarkStart w:id="5" w:name="__RefHeading___Toc120_1162264278"/>
      <w:bookmarkEnd w:id="5"/>
      <w:r>
        <w:rPr/>
        <w:t>Инпейтинг</w:t>
      </w:r>
    </w:p>
    <w:p>
      <w:pPr>
        <w:pStyle w:val="TextBody"/>
        <w:bidi w:val="0"/>
        <w:jc w:val="left"/>
        <w:rPr/>
      </w:pPr>
      <w:r>
        <w:rPr/>
        <w:t>Нейросетевой инпейтинг с помощью LaMa (через simple-lama-inpainting) используется только для стирания текста вне пузырьков, либо как фоллбек (запасной вариант), если произошла авария с методом очистики пузырьков.</w:t>
      </w:r>
    </w:p>
    <w:p>
      <w:pPr>
        <w:pStyle w:val="TextBody"/>
        <w:bidi w:val="0"/>
        <w:jc w:val="both"/>
        <w:rPr/>
      </w:pPr>
      <w:r>
        <w:rPr/>
        <w:t>Для очистки пузырьков по дефолту применяется классический метод поиска границ и заливка тоном пузырька. Этот алгоритм стандартно применяется в комиксах. По бинаризации Отсу и связным компонентам находится «внутренность» пузыря (светлая область вокруг текста, отрезанная тёмной обводкой от фона), дырки от штрихов текста заливаются, и вся область перекрашивается медианным тоном  пузыря — ровно до обводки, не задевая её. Если сегментация ненадёжна (текст вылез за пузырь, обводка разорвана и заливка утекла на фон — это ловится проверкой углов кропа), пузырь откатывается на инпейнтинг LaMa. Текст вне пузырей (звуки, надписи на рисунке) всегда стирается одним проходом LaMa по общей маске.</w:t>
      </w:r>
    </w:p>
    <w:p>
      <w:pPr>
        <w:pStyle w:val="TextBody"/>
        <w:bidi w:val="0"/>
        <w:jc w:val="both"/>
        <w:rPr/>
      </w:pPr>
      <w:r>
        <w:rPr/>
        <w:t>Для чего так сделано: помимо очевидной экономии ресурсов классическим алгоритмом, он на пузырьках оставляет ощутимо меньше и реже артефакты, чем simple-lama-inpainting.</w:t>
      </w:r>
    </w:p>
    <w:p>
      <w:pPr>
        <w:pStyle w:val="Normal"/>
        <w:bidi w:val="0"/>
        <w:jc w:val="left"/>
        <w:rPr/>
      </w:pPr>
      <w:r>
        <w:rPr/>
      </w:r>
    </w:p>
    <w:p>
      <w:pPr>
        <w:pStyle w:val="Heading1"/>
        <w:numPr>
          <w:ilvl w:val="0"/>
          <w:numId w:val="1"/>
        </w:numPr>
        <w:bidi w:val="0"/>
        <w:jc w:val="left"/>
        <w:rPr/>
      </w:pPr>
      <w:bookmarkStart w:id="6" w:name="__RefHeading___Toc122_1162264278"/>
      <w:bookmarkEnd w:id="6"/>
      <w:r>
        <w:rPr/>
        <w:t>Архитектура: поток интерфейса + фоновый воркер</w:t>
      </w:r>
    </w:p>
    <w:p>
      <w:pPr>
        <w:pStyle w:val="Normal"/>
        <w:bidi w:val="0"/>
        <w:jc w:val="both"/>
        <w:rPr/>
      </w:pPr>
      <w:r>
        <w:rPr/>
        <w:t>Ядро — десктопное приложение на PySide6 (Qt). Главный поток занят только интерфейсом и остаётся отзывчивым, а вся тяжёлая нейросетевая работа вынесена в отдельный QThread (DetectionWorker) с очередью задач (queue.Queue). Обратно результаты приходят через сигналы Qt: page_detected, region_translated, page_done, status_changed. Поскольку Qt доставляет межпоточные сигналы через очередь событий главного потока, гонок по состоянию интерфейса нет по построению.</w:t>
      </w:r>
    </w:p>
    <w:p>
      <w:pPr>
        <w:pStyle w:val="Normal"/>
        <w:bidi w:val="0"/>
        <w:jc w:val="both"/>
        <w:rPr/>
      </w:pPr>
      <w:r>
        <w:rPr/>
      </w:r>
    </w:p>
    <w:p>
      <w:pPr>
        <w:pStyle w:val="Normal"/>
        <w:bidi w:val="0"/>
        <w:jc w:val="both"/>
        <w:rPr/>
      </w:pPr>
      <w:r>
        <w:rPr/>
        <w:t>Ключевая деталь надёжности — поколения пайплайна (_pipeline_gen). Это относительно новый метод синхронизации на основе счетчика. Счётчик увеличивается при открытии новой папки и при смене исходного языка. Каждая задача детекции несёт номер поколения, и обработчики отбрасывают результаты устаревшего поколения. Это защищает от ситуации, когда модель уже начала считать страницу (прервать инференс в нативной библиотеке нельзя), а пользователь тем временем всё сбросил — запоздалый результат просто молча игнорируется, а не дублирует рамки.</w:t>
      </w:r>
    </w:p>
    <w:p>
      <w:pPr>
        <w:pStyle w:val="Normal"/>
        <w:bidi w:val="0"/>
        <w:jc w:val="both"/>
        <w:rPr/>
      </w:pPr>
      <w:r>
        <w:rPr/>
        <w:t xml:space="preserve">  </w:t>
      </w:r>
      <w:r>
        <w:rPr/>
        <w:t>Плюс clear_pending() вычищает ещё не начатые задачи из очереди.</w:t>
      </w:r>
    </w:p>
    <w:p>
      <w:pPr>
        <w:pStyle w:val="Normal"/>
        <w:bidi w:val="0"/>
        <w:jc w:val="left"/>
        <w:rPr/>
      </w:pPr>
      <w:r>
        <w:rPr/>
      </w:r>
    </w:p>
    <w:p>
      <w:pPr>
        <w:pStyle w:val="Heading2"/>
        <w:numPr>
          <w:ilvl w:val="1"/>
          <w:numId w:val="1"/>
        </w:numPr>
        <w:bidi w:val="0"/>
        <w:jc w:val="left"/>
        <w:rPr/>
      </w:pPr>
      <w:bookmarkStart w:id="7" w:name="__RefHeading___Toc124_1162264278"/>
      <w:bookmarkEnd w:id="7"/>
      <w:r>
        <w:rPr/>
        <w:t>Редактор и ручная правка</w:t>
      </w:r>
    </w:p>
    <w:p>
      <w:pPr>
        <w:pStyle w:val="Normal"/>
        <w:bidi w:val="0"/>
        <w:jc w:val="both"/>
        <w:rPr/>
      </w:pPr>
      <w:r>
        <w:rPr/>
        <w:t>Каждый распознанный фрагмент — это перемещаемая и растягиваемая рамка на странице плюс строка в списке сбоку. Можно: править текст перевода,  включать/выключать перевод конкретного фрагмента, менять шрифт, размер и регистр, двигать и растягивать рамку, рисовать новую рамку вручную (она тут же уходит на OCR и перевод в фоне). Правки сохраняются в памяти при переключении между страницами. Оригинальный распознанный текст хранится отдельно от отображаемого, так что капс и правки не портят исходник.</w:t>
      </w:r>
    </w:p>
    <w:p>
      <w:pPr>
        <w:pStyle w:val="Normal"/>
        <w:bidi w:val="0"/>
        <w:jc w:val="both"/>
        <w:rPr/>
      </w:pPr>
      <w:r>
        <w:rPr/>
      </w:r>
    </w:p>
    <w:p>
      <w:pPr>
        <w:pStyle w:val="Heading2"/>
        <w:numPr>
          <w:ilvl w:val="1"/>
          <w:numId w:val="1"/>
        </w:numPr>
        <w:bidi w:val="0"/>
        <w:jc w:val="left"/>
        <w:rPr/>
      </w:pPr>
      <w:bookmarkStart w:id="8" w:name="__RefHeading___Toc126_1162264278"/>
      <w:bookmarkEnd w:id="8"/>
      <w:r>
        <w:rPr/>
        <w:t>Рендер</w:t>
      </w:r>
    </w:p>
    <w:p>
      <w:pPr>
        <w:pStyle w:val="Normal"/>
        <w:bidi w:val="0"/>
        <w:jc w:val="both"/>
        <w:rPr/>
      </w:pPr>
      <w:r>
        <w:rPr/>
        <w:t>Перевод вписывается в рамку встроенным комикс-шрифтом Pangolin (лежит в репозитории, с кириллицей), по центру по горизонтали и вертикали, с плотным межстрочным интервалом (85%) и белой обводкой для читаемости. Размер шрифта авто-подбирается бинарным поиском под размер рамки. Есть флажок «верхний регистр» (по умолчанию включён). Настройки переноса строк общие у редактора и экспорта, поэтому разбивка на строки совпадает один в один. Шрифт поддерживает не все языки! Поэтому для языков не использующими латиницу или кирилицу, пользователь может выбрать и использовать другой шрифт.</w:t>
      </w:r>
    </w:p>
    <w:p>
      <w:pPr>
        <w:pStyle w:val="Normal"/>
        <w:bidi w:val="0"/>
        <w:jc w:val="left"/>
        <w:rPr/>
      </w:pPr>
      <w:r>
        <w:rPr/>
      </w:r>
    </w:p>
    <w:p>
      <w:pPr>
        <w:pStyle w:val="Heading2"/>
        <w:numPr>
          <w:ilvl w:val="1"/>
          <w:numId w:val="1"/>
        </w:numPr>
        <w:bidi w:val="0"/>
        <w:jc w:val="left"/>
        <w:rPr/>
      </w:pPr>
      <w:bookmarkStart w:id="9" w:name="__RefHeading___Toc128_1162264278"/>
      <w:bookmarkEnd w:id="9"/>
      <w:r>
        <w:rPr/>
        <w:t>Два режима запуска</w:t>
      </w:r>
    </w:p>
    <w:p>
      <w:pPr>
        <w:pStyle w:val="Normal"/>
        <w:bidi w:val="0"/>
        <w:jc w:val="both"/>
        <w:rPr/>
      </w:pPr>
      <w:r>
        <w:rPr/>
        <w:t>- GUI: python3 main.py — полуавтоматический ручной перевод. Открывается папка, можно листать, вносить правки. Экспорт ждёт, пока пайплайн страницы завершится, с прогресс-баром.</w:t>
      </w:r>
    </w:p>
    <w:p>
      <w:pPr>
        <w:pStyle w:val="Normal"/>
        <w:bidi w:val="0"/>
        <w:jc w:val="both"/>
        <w:rPr/>
      </w:pPr>
      <w:r>
        <w:rPr/>
        <w:t>- Консольный/пакетный: python3 main.py --batch входная_папка выходная_папка --source-lang Japanese --target-lang Russian — прогоняет весь пайплайн по папке без интерфейса, тот же код рендеринга, что и в GUI.</w:t>
      </w:r>
    </w:p>
    <w:p>
      <w:pPr>
        <w:pStyle w:val="Normal"/>
        <w:bidi w:val="0"/>
        <w:jc w:val="left"/>
        <w:rPr/>
      </w:pPr>
      <w:r>
        <w:rPr/>
      </w:r>
    </w:p>
    <w:p>
      <w:pPr>
        <w:pStyle w:val="Normal"/>
        <w:bidi w:val="0"/>
        <w:jc w:val="left"/>
        <w:rPr/>
      </w:pPr>
      <w:r>
        <w:rPr/>
      </w:r>
    </w:p>
    <w:p>
      <w:pPr>
        <w:pStyle w:val="Normal"/>
        <w:bidi w:val="0"/>
        <w:jc w:val="left"/>
        <w:rPr/>
      </w:pPr>
      <w:r>
        <w:rPr/>
      </w:r>
    </w:p>
    <w:p>
      <w:pPr>
        <w:pStyle w:val="Heading2"/>
        <w:numPr>
          <w:ilvl w:val="0"/>
          <w:numId w:val="0"/>
        </w:numPr>
        <w:bidi w:val="0"/>
        <w:ind w:left="0" w:hanging="0"/>
        <w:jc w:val="left"/>
        <w:rPr/>
      </w:pPr>
      <w:bookmarkStart w:id="10" w:name="__RefHeading___Toc130_1162264278"/>
      <w:bookmarkEnd w:id="10"/>
      <w:r>
        <w:rPr/>
        <w:t>Языки и интерфейс</w:t>
      </w:r>
    </w:p>
    <w:p>
      <w:pPr>
        <w:pStyle w:val="Normal"/>
        <w:bidi w:val="0"/>
        <w:jc w:val="left"/>
        <w:rPr/>
      </w:pPr>
      <w:r>
        <w:rPr/>
        <w:t xml:space="preserve">Исходные языки (OCR): японский, английский, китайский, корейский, испанский, французский, немецкий, португальский, итальянский, русский. </w:t>
      </w:r>
    </w:p>
    <w:p>
      <w:pPr>
        <w:pStyle w:val="Normal"/>
        <w:bidi w:val="0"/>
        <w:jc w:val="left"/>
        <w:rPr/>
      </w:pPr>
      <w:r>
        <w:rPr/>
        <w:t>Целевые (перевод): русский, английский, китайский, корейский, испанский, французский, немецкий, португальский, итальянский, турецкий. Смена исходного языка сбрасывает распознавание (старый OCR бессмыслен), смена целевого применяется к переводам с этого момента.</w:t>
      </w:r>
    </w:p>
    <w:p>
      <w:pPr>
        <w:pStyle w:val="Normal"/>
        <w:bidi w:val="0"/>
        <w:jc w:val="left"/>
        <w:rPr/>
      </w:pPr>
      <w:r>
        <w:rPr/>
      </w:r>
    </w:p>
    <w:p>
      <w:pPr>
        <w:pStyle w:val="Normal"/>
        <w:bidi w:val="0"/>
        <w:jc w:val="left"/>
        <w:rPr/>
      </w:pPr>
      <w:r>
        <w:rPr/>
        <w:t>Сам интерфейс локализован (i18n, русский и английский) — модуль i18n.py с функцией t(), язык определяется по системной локали и переключается на лету через комбобокс «UI» в тулбаре.</w:t>
      </w:r>
    </w:p>
    <w:p>
      <w:pPr>
        <w:pStyle w:val="Normal"/>
        <w:bidi w:val="0"/>
        <w:jc w:val="left"/>
        <w:rPr/>
      </w:pPr>
      <w:r>
        <w:rPr/>
      </w:r>
    </w:p>
    <w:p>
      <w:pPr>
        <w:pStyle w:val="Heading2"/>
        <w:numPr>
          <w:ilvl w:val="1"/>
          <w:numId w:val="1"/>
        </w:numPr>
        <w:bidi w:val="0"/>
        <w:jc w:val="left"/>
        <w:rPr/>
      </w:pPr>
      <w:bookmarkStart w:id="11" w:name="__RefHeading___Toc132_1162264278"/>
      <w:bookmarkEnd w:id="11"/>
      <w:r>
        <w:rPr/>
        <w:t>Модели и окружение</w:t>
      </w:r>
    </w:p>
    <w:p>
      <w:pPr>
        <w:pStyle w:val="Normal"/>
        <w:bidi w:val="0"/>
        <w:jc w:val="left"/>
        <w:rPr/>
      </w:pPr>
      <w:r>
        <w:rPr/>
        <w:t xml:space="preserve">- RF-DETR (Roboflow) — детекция, </w:t>
      </w:r>
      <w:r>
        <w:rPr/>
        <w:t>обучена самостоятельно</w:t>
      </w:r>
      <w:r>
        <w:rPr/>
        <w:t>.</w:t>
      </w:r>
    </w:p>
    <w:p>
      <w:pPr>
        <w:pStyle w:val="Normal"/>
        <w:bidi w:val="0"/>
        <w:jc w:val="left"/>
        <w:rPr/>
      </w:pPr>
      <w:r>
        <w:rPr/>
        <w:t>- Manga OCR (kha-white) и EasyOCR (JaidedAI) — распознавание.</w:t>
      </w:r>
    </w:p>
    <w:p>
      <w:pPr>
        <w:pStyle w:val="Normal"/>
        <w:bidi w:val="0"/>
        <w:jc w:val="left"/>
        <w:rPr/>
      </w:pPr>
      <w:r>
        <w:rPr/>
        <w:t>- HY-MT1.5-1.8B (Tencent Hunyuan-MT) через llama-cpp-python — перевод.</w:t>
      </w:r>
    </w:p>
    <w:p>
      <w:pPr>
        <w:pStyle w:val="Normal"/>
        <w:bidi w:val="0"/>
        <w:jc w:val="left"/>
        <w:rPr/>
      </w:pPr>
      <w:r>
        <w:rPr/>
        <w:t>- LaMa (через simple-lama-inpainting) — инпейнтинг фона.</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numPr>
        <w:ilvl w:val="0"/>
        <w:numId w:val="1"/>
      </w:numPr>
      <w:spacing w:before="240" w:after="120"/>
      <w:outlineLvl w:val="0"/>
    </w:pPr>
    <w:rPr>
      <w:b/>
      <w:bCs/>
      <w:sz w:val="36"/>
      <w:szCs w:val="36"/>
    </w:rPr>
  </w:style>
  <w:style w:type="paragraph" w:styleId="Heading2">
    <w:name w:val="Heading 2"/>
    <w:basedOn w:val="Heading"/>
    <w:next w:val="TextBody"/>
    <w:qFormat/>
    <w:pPr>
      <w:numPr>
        <w:ilvl w:val="1"/>
        <w:numId w:val="1"/>
      </w:numPr>
      <w:spacing w:before="200" w:after="120"/>
      <w:outlineLvl w:val="1"/>
    </w:pPr>
    <w:rPr>
      <w:b/>
      <w:bCs/>
      <w:sz w:val="32"/>
      <w:szCs w:val="32"/>
    </w:rPr>
  </w:style>
  <w:style w:type="character" w:styleId="InternetLink">
    <w:name w:val="Hyperlink"/>
    <w:rPr>
      <w:color w:val="000080"/>
      <w:u w:val="single"/>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IndexHeading">
    <w:name w:val="Index Heading"/>
    <w:basedOn w:val="Heading"/>
    <w:pPr>
      <w:suppressLineNumbers/>
      <w:ind w:left="0" w:hanging="0"/>
    </w:pPr>
    <w:rPr>
      <w:b/>
      <w:bCs/>
      <w:sz w:val="32"/>
      <w:szCs w:val="32"/>
    </w:rPr>
  </w:style>
  <w:style w:type="paragraph" w:styleId="ContentsHeading">
    <w:name w:val="TOC Heading"/>
    <w:basedOn w:val="IndexHeading"/>
    <w:pPr>
      <w:suppressLineNumbers/>
      <w:ind w:left="0" w:hanging="0"/>
    </w:pPr>
    <w:rPr>
      <w:b/>
      <w:bCs/>
      <w:sz w:val="32"/>
      <w:szCs w:val="32"/>
    </w:rPr>
  </w:style>
  <w:style w:type="paragraph" w:styleId="Contents1">
    <w:name w:val="TOC 1"/>
    <w:basedOn w:val="Index"/>
    <w:pPr>
      <w:tabs>
        <w:tab w:val="clear" w:pos="709"/>
        <w:tab w:val="right" w:pos="9972" w:leader="dot"/>
      </w:tabs>
      <w:ind w:left="0" w:hanging="0"/>
    </w:pPr>
    <w:rPr/>
  </w:style>
  <w:style w:type="paragraph" w:styleId="Contents2">
    <w:name w:val="TOC 2"/>
    <w:basedOn w:val="Index"/>
    <w:pPr>
      <w:tabs>
        <w:tab w:val="clear" w:pos="709"/>
        <w:tab w:val="right" w:pos="9972" w:leader="dot"/>
      </w:tabs>
      <w:ind w:left="283" w:hanging="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32</TotalTime>
  <Application>LibreOffice/7.3.7.2$Linux_X86_64 LibreOffice_project/30$Build-2</Application>
  <AppVersion>15.0000</AppVersion>
  <Pages>4</Pages>
  <Words>1338</Words>
  <Characters>8579</Characters>
  <CharactersWithSpaces>9881</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2026-07-26T03:16:08Z</dcterms:created>
  <dc:creator/>
  <dc:description/>
  <dc:language>en-US</dc:language>
  <cp:lastModifiedBy/>
  <dcterms:modified xsi:type="dcterms:W3CDTF">2026-07-26T04:45:57Z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